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900"/>
        <w:jc w:val="left"/>
      </w:pPr>
      <w:r>
        <w:rPr>
          <w:rFonts w:ascii="Aptos Display" w:hAnsi="Aptos Display"/>
          <w:b/>
          <w:color w:val="2F75B5"/>
          <w:sz w:val="36"/>
        </w:rPr>
        <w:t>SERINTSA IPS</w:t>
      </w:r>
    </w:p>
    <w:p>
      <w:pPr>
        <w:spacing w:before="1200" w:after="160"/>
      </w:pPr>
      <w:r>
        <w:rPr>
          <w:rFonts w:ascii="Aptos Display" w:hAnsi="Aptos Display"/>
          <w:b/>
          <w:color w:val="17365D"/>
          <w:sz w:val="54"/>
        </w:rPr>
        <w:t>PROPUESTA DE PRESTACIÓN</w:t>
        <w:br/>
        <w:t>DE SERVICIOS PROFESIONALES</w:t>
      </w:r>
    </w:p>
    <w:p>
      <w:pPr>
        <w:spacing w:after="440"/>
      </w:pPr>
      <w:r>
        <w:rPr>
          <w:rFonts w:ascii="Aptos" w:hAnsi="Aptos"/>
          <w:color w:val="2F75B5"/>
          <w:sz w:val="28"/>
        </w:rPr>
        <w:t>Ingeniería de Sistemas y Transformación Digital</w:t>
      </w:r>
    </w:p>
    <w:tbl>
      <w:tblPr>
        <w:tblW w:type="auto" w:w="0"/>
        <w:jc w:val="left"/>
        <w:tblLayout w:type="fixed"/>
        <w:tblLook w:firstColumn="1" w:firstRow="1" w:lastColumn="0" w:lastRow="0" w:noHBand="0" w:noVBand="1" w:val="04A0"/>
      </w:tblPr>
      <w:tblGrid>
        <w:gridCol w:w="198"/>
        <w:gridCol w:w="8277"/>
      </w:tblGrid>
      <w:tr>
        <w:trPr>
          <w:cantSplit/>
        </w:trPr>
        <w:tc>
          <w:tcPr>
            <w:tcW w:type="dxa" w:w="4677"/>
            <w:shd w:fill="2F75B5"/>
            <w:tcMar>
              <w:top w:w="0" w:type="dxa"/>
              <w:start w:w="0" w:type="dxa"/>
              <w:bottom w:w="0" w:type="dxa"/>
              <w:end w:w="0" w:type="dxa"/>
            </w:tcMar>
          </w:tcPr>
          <w:p/>
        </w:tc>
        <w:tc>
          <w:tcPr>
            <w:tcW w:type="dxa" w:w="4677"/>
            <w:shd w:fill="F3F7FB"/>
            <w:tcMar>
              <w:top w:w="180" w:type="dxa"/>
              <w:start w:w="220" w:type="dxa"/>
              <w:bottom w:w="180" w:type="dxa"/>
              <w:end w:w="220" w:type="dxa"/>
            </w:tcMar>
          </w:tcPr>
          <w:p>
            <w:r>
              <w:rPr>
                <w:rFonts w:ascii="Aptos" w:hAnsi="Aptos"/>
                <w:b/>
                <w:color w:val="17365D"/>
                <w:sz w:val="21"/>
              </w:rPr>
              <w:t>Enfoque</w:t>
            </w:r>
          </w:p>
          <w:p>
            <w:pPr>
              <w:spacing w:after="0"/>
            </w:pPr>
            <w:r>
              <w:rPr>
                <w:rFonts w:ascii="Aptos" w:hAnsi="Aptos"/>
                <w:color w:val="263238"/>
                <w:sz w:val="20"/>
              </w:rPr>
            </w:r>
            <w:r>
              <w:rPr>
                <w:rFonts w:ascii="Aptos" w:hAnsi="Aptos"/>
                <w:color w:val="263238"/>
                <w:sz w:val="20"/>
              </w:rPr>
            </w:r>
            <w:r>
              <w:rPr>
                <w:rFonts w:ascii="Aptos" w:hAnsi="Aptos"/>
                <w:color w:val="263238"/>
                <w:sz w:val="20"/>
              </w:rPr>
              <w:t>Modernización tecnológica · actualización · desarrollo de software · migración · integración · automatización · soporte a equipos y usuarios · continuidad operativa</w:t>
            </w:r>
          </w:p>
        </w:tc>
      </w:tr>
    </w:tbl>
    <w:p>
      <w:pPr>
        <w:spacing w:after="600" w:before="0" w:line="259" w:lineRule="auto"/>
      </w:pPr>
      <w:r>
        <w:rPr>
          <w:rFonts w:ascii="Aptos" w:hAnsi="Aptos"/>
          <w:b w:val="0"/>
          <w:i w:val="0"/>
          <w:color w:val="263238"/>
          <w:sz w:val="21"/>
        </w:rPr>
      </w:r>
    </w:p>
    <w:p>
      <w:pPr>
        <w:spacing w:after="20" w:before="0" w:line="259" w:lineRule="auto"/>
      </w:pPr>
      <w:r>
        <w:rPr>
          <w:rFonts w:ascii="Aptos" w:hAnsi="Aptos"/>
          <w:b/>
          <w:i w:val="0"/>
          <w:color w:val="5F6B73"/>
          <w:sz w:val="19"/>
        </w:rPr>
        <w:t>Proponente</w:t>
      </w:r>
    </w:p>
    <w:p>
      <w:pPr>
        <w:spacing w:after="0" w:before="0" w:line="259" w:lineRule="auto"/>
      </w:pPr>
      <w:r>
        <w:rPr>
          <w:rFonts w:ascii="Aptos" w:hAnsi="Aptos"/>
          <w:b/>
          <w:i w:val="0"/>
          <w:color w:val="17365D"/>
          <w:sz w:val="26"/>
        </w:rPr>
        <w:t>Einer Daniel Pallares Amaya</w:t>
      </w:r>
    </w:p>
    <w:p>
      <w:pPr>
        <w:spacing w:after="320" w:before="0" w:line="259" w:lineRule="auto"/>
      </w:pPr>
      <w:r>
        <w:rPr>
          <w:rFonts w:ascii="Aptos" w:hAnsi="Aptos"/>
          <w:b w:val="0"/>
          <w:i w:val="0"/>
          <w:color w:val="263238"/>
          <w:sz w:val="21"/>
        </w:rPr>
        <w:t>Ingeniero de Sistemas</w:t>
      </w:r>
    </w:p>
    <w:p>
      <w:pPr>
        <w:spacing w:after="20" w:before="0" w:line="259" w:lineRule="auto"/>
      </w:pPr>
      <w:r>
        <w:rPr>
          <w:rFonts w:ascii="Aptos" w:hAnsi="Aptos"/>
          <w:b/>
          <w:i w:val="0"/>
          <w:color w:val="5F6B73"/>
          <w:sz w:val="19"/>
        </w:rPr>
        <w:t>Modalidad contractual</w:t>
      </w:r>
    </w:p>
    <w:p>
      <w:pPr>
        <w:spacing w:after="280" w:before="0" w:line="259" w:lineRule="auto"/>
      </w:pPr>
      <w:r>
        <w:rPr>
          <w:rFonts w:ascii="Aptos" w:hAnsi="Aptos"/>
          <w:b/>
          <w:i w:val="0"/>
          <w:color w:val="263238"/>
          <w:sz w:val="22"/>
        </w:rPr>
        <w:t>Prestación de Servicios Profesionales — OPS</w:t>
      </w:r>
    </w:p>
    <w:p>
      <w:pPr>
        <w:spacing w:after="20" w:before="0" w:line="259" w:lineRule="auto"/>
      </w:pPr>
      <w:r>
        <w:rPr>
          <w:rFonts w:ascii="Aptos" w:hAnsi="Aptos"/>
          <w:b/>
          <w:i w:val="0"/>
          <w:color w:val="5F6B73"/>
          <w:sz w:val="19"/>
        </w:rPr>
        <w:t>Valor mensual</w:t>
      </w:r>
    </w:p>
    <w:p>
      <w:pPr>
        <w:spacing w:after="280" w:before="0" w:line="259" w:lineRule="auto"/>
      </w:pPr>
      <w:r>
        <w:rPr>
          <w:rFonts w:ascii="Aptos" w:hAnsi="Aptos"/>
          <w:b/>
          <w:i w:val="0"/>
          <w:color w:val="2E7D32"/>
          <w:sz w:val="30"/>
        </w:rPr>
        <w:t>$7.000.000 COP</w:t>
      </w:r>
    </w:p>
    <w:p>
      <w:pPr>
        <w:spacing w:after="20" w:before="0" w:line="259" w:lineRule="auto"/>
      </w:pPr>
      <w:r>
        <w:rPr>
          <w:rFonts w:ascii="Aptos" w:hAnsi="Aptos"/>
          <w:b/>
          <w:i w:val="0"/>
          <w:color w:val="5F6B73"/>
          <w:sz w:val="19"/>
        </w:rPr>
        <w:t>Fecha de presentación</w:t>
      </w:r>
    </w:p>
    <w:p>
      <w:pPr>
        <w:spacing w:after="0" w:before="0" w:line="259" w:lineRule="auto"/>
      </w:pPr>
      <w:r>
        <w:rPr>
          <w:rFonts w:ascii="Aptos" w:hAnsi="Aptos"/>
          <w:b w:val="0"/>
          <w:i w:val="0"/>
          <w:color w:val="263238"/>
          <w:sz w:val="21"/>
        </w:rPr>
        <w:t>18 de agosto de 2026</w:t>
      </w:r>
    </w:p>
    <w:p>
      <w:r>
        <w:br w:type="page"/>
      </w:r>
    </w:p>
    <w:p>
      <w:pPr>
        <w:pStyle w:val="Heading1"/>
        <w:keepNext/>
      </w:pPr>
      <w:r>
        <w:t>1. Resumen ejecutivo</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La presente propuesta da continuidad al acompañamiento tecnológico realizado previamente en SERINTSA IPS y se estructura sobre dos componentes complementarios: la ejecución de la modernización tecnológica institucional y el soporte continuo a la operación de los recursos tecnológicos. Durante la contratación anterior se realizó el estudio de las necesidades de las diferentes áreas y se identificaron procesos, aplicaciones, programas y herramientas que requieren actualización, migración, integración o modernización. En consecuencia, esta nueva etapa se orienta a ejecutar dichas soluciones y, de manera paralela, a garantizar acompañamiento técnico sobre equipos de cómputo, impresoras, periféricos, software institucional y demás requerimientos tecnológicos de la operación.</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El primer componente del servicio estará centrado en ejecutar la actualización, migración, integración y modernización de procesos y aplicaciones antiguas. Para alcanzar estos objetivos se incluye el diseño, programación y desarrollo de cualquier solución de software que resulte necesaria, junto con las pruebas, migraciones de información, integraciones, implementación, ajustes y acompañamiento en la puesta en operación. El segundo componente corresponde al soporte tecnológico, orientado a mantener la continuidad de la operación mediante la atención oportuna de incidentes y requerimientos relacionados con computadores, impresoras, periféricos, aplicaciones, conectividad de usuario y demás recursos tecnológicos comprendidos dentro del alcance de la prestación.</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Principio rector de la propuesta</w:t>
            </w:r>
          </w:p>
          <w:p>
            <w:pPr>
              <w:spacing w:after="0" w:line="252" w:lineRule="auto"/>
            </w:pPr>
            <w:r>
              <w:rPr>
                <w:rFonts w:ascii="Aptos" w:hAnsi="Aptos"/>
                <w:color w:val="263238"/>
                <w:sz w:val="20"/>
              </w:rPr>
            </w:r>
            <w:r>
              <w:rPr>
                <w:rFonts w:ascii="Aptos" w:hAnsi="Aptos"/>
                <w:color w:val="263238"/>
                <w:sz w:val="20"/>
              </w:rPr>
            </w:r>
            <w:r>
              <w:rPr>
                <w:rFonts w:ascii="Aptos" w:hAnsi="Aptos"/>
                <w:color w:val="263238"/>
                <w:sz w:val="20"/>
              </w:rPr>
              <w:t>El estudio de necesidades ya fue realizado durante la contratación previa. Esta nueva etapa combina la ejecución de las soluciones de modernización —incluyendo los desarrollos de software necesarios— con el soporte tecnológico a equipos, usuarios y sedes para contribuir a la continuidad de la operación.</w:t>
            </w:r>
          </w:p>
        </w:tc>
      </w:tr>
    </w:tbl>
    <w:p>
      <w:pPr>
        <w:spacing w:after="40"/>
      </w:pP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El estudio previo permitió establecer frentes concretos de trabajo relacionados con el sistema ASIS, aplicaciones desarrolladas en Microsoft Access, herramientas locales antiguas, procesos manuales asociados al laboratorio y otros procesos institucionales susceptibles de modernización. Paralelamente, la prestación contempla soporte tecnológico a usuarios y equipos, incluyendo computadores, impresoras y periféricos, así como acompañamiento sobre el software TNS utilizado por las áreas de facturación y contabilidad. La cobertura comprende la sede principal de SERINTSA IPS, Farmaserintsa y CABE, ubicada en las instalaciones del Hospital de Ecopetrol. De esta forma, la propuesta combina la transformación tecnológica de mediano plazo con la atención de las necesidades operativas del día a día.</w:t>
      </w:r>
    </w:p>
    <w:p>
      <w:pPr>
        <w:pStyle w:val="Heading1"/>
        <w:keepNext/>
      </w:pPr>
      <w:r/>
      <w:r>
        <w:rPr/>
        <w:t>2. Antecedentes y punto de partida</w:t>
      </w:r>
    </w:p>
    <w:p>
      <w:pPr>
        <w:spacing w:after="120" w:before="0" w:line="259" w:lineRule="auto"/>
      </w:pPr>
      <w:r>
        <w:rPr>
          <w:rFonts w:ascii="Aptos" w:hAnsi="Aptos"/>
          <w:b w:val="0"/>
          <w:i w:val="0"/>
          <w:color w:val="263238"/>
          <w:sz w:val="21"/>
        </w:rPr>
      </w:r>
      <w:r>
        <w:rPr>
          <w:rFonts w:ascii="Aptos" w:hAnsi="Aptos"/>
          <w:b w:val="0"/>
          <w:i w:val="0"/>
          <w:color w:val="263238"/>
          <w:sz w:val="21"/>
        </w:rPr>
        <w:t>Durante la contratación previa del proponente con SERINTSA IPS se realizó el estudio de las necesidades tecnológicas de las diferentes áreas de la institución. Este trabajo permitió conocer los procesos actuales, identificar actividades manuales, dependencias tecnológicas, aplicaciones heredadas y programas antiguos, así como establecer oportunidades concretas de actualización y modernización.</w:t>
      </w:r>
    </w:p>
    <w:p>
      <w:pPr>
        <w:spacing w:after="120" w:before="0" w:line="259" w:lineRule="auto"/>
      </w:pPr>
      <w:r>
        <w:rPr>
          <w:rFonts w:ascii="Aptos" w:hAnsi="Aptos"/>
          <w:b w:val="0"/>
          <w:i w:val="0"/>
          <w:color w:val="263238"/>
          <w:sz w:val="21"/>
        </w:rPr>
      </w:r>
      <w:r>
        <w:rPr>
          <w:rFonts w:ascii="Aptos" w:hAnsi="Aptos"/>
          <w:b w:val="0"/>
          <w:i w:val="0"/>
          <w:color w:val="263238"/>
          <w:sz w:val="21"/>
        </w:rPr>
        <w:t>En consecuencia, la presente propuesta corresponde a una etapa de ejecución. El énfasis estará en implementar las soluciones derivadas del estudio previo: actualización tecnológica, migración de aplicaciones y datos, integración entre sistemas, automatización de procesos, modernización de programas antiguos y desarrollo de nuevas soluciones cuando sean necesarias para alcanzar los objetivos de modernización, procurando siempre la continuidad de la operación institucional.</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3402"/>
            <w:shd w:fill="17365D"/>
            <w:tcMar>
              <w:top w:w="110" w:type="dxa"/>
              <w:start w:w="120" w:type="dxa"/>
              <w:bottom w:w="110" w:type="dxa"/>
              <w:end w:w="120" w:type="dxa"/>
            </w:tcMar>
            <w:vAlign w:val="center"/>
          </w:tcPr>
          <w:p>
            <w:pPr>
              <w:jc w:val="center"/>
            </w:pPr>
            <w:r>
              <w:rPr>
                <w:rFonts w:ascii="Aptos" w:hAnsi="Aptos"/>
                <w:b/>
                <w:color w:val="FFFFFF"/>
                <w:sz w:val="18"/>
              </w:rPr>
            </w:r>
            <w:r>
              <w:rPr>
                <w:rFonts w:ascii="Aptos" w:hAnsi="Aptos"/>
                <w:b/>
                <w:color w:val="FFFFFF"/>
                <w:sz w:val="18"/>
              </w:rPr>
              <w:t>Necesidad previamente identificada</w:t>
            </w:r>
          </w:p>
        </w:tc>
        <w:tc>
          <w:tcPr>
            <w:tcW w:type="dxa" w:w="5669"/>
            <w:shd w:fill="17365D"/>
            <w:tcMar>
              <w:top w:w="110" w:type="dxa"/>
              <w:start w:w="120" w:type="dxa"/>
              <w:bottom w:w="110" w:type="dxa"/>
              <w:end w:w="120" w:type="dxa"/>
            </w:tcMar>
            <w:vAlign w:val="center"/>
          </w:tcPr>
          <w:p>
            <w:pPr>
              <w:jc w:val="center"/>
            </w:pPr>
            <w:r>
              <w:rPr>
                <w:rFonts w:ascii="Aptos" w:hAnsi="Aptos"/>
                <w:b/>
                <w:color w:val="FFFFFF"/>
                <w:sz w:val="18"/>
              </w:rPr>
              <w:t>Enfoque propuesto</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Dependencia de aplicaciones heredadas</w:t>
            </w:r>
          </w:p>
        </w:tc>
        <w:tc>
          <w:tcPr>
            <w:tcW w:type="dxa" w:w="56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Ejecutar una ruta progresiva de actualización, migración o sustitución, verificando previamente las dependencias técnicas necesarias.</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Procesos manuales o duplicados</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Ejecutar automatizaciones y mejoras sobre los puntos de reproceso, duplicidad y captura manual ya identificados.</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Sistemas aislados</w:t>
            </w:r>
          </w:p>
        </w:tc>
        <w:tc>
          <w:tcPr>
            <w:tcW w:type="dxa" w:w="56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Implementar mecanismos de integración e intercambio de información técnicamente viables, con criterios de seguridad y continuidad.</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Nuevas necesidades de atención</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Ejecutar soluciones digitales priorizadas según impacto para pacientes, usuarios internos y operación.</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Soporte tecnológico disperso</w:t>
            </w:r>
          </w:p>
        </w:tc>
        <w:tc>
          <w:tcPr>
            <w:tcW w:type="dxa" w:w="56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Fortalecer y modernizar la mesa de ayuda existente para organizar y dar trazabilidad a la atención de incidentes.</w:t>
            </w:r>
          </w:p>
        </w:tc>
      </w:tr>
    </w:tbl>
    <w:p>
      <w:pPr>
        <w:spacing w:after="80"/>
      </w:pPr>
    </w:p>
    <w:p>
      <w:pPr>
        <w:pStyle w:val="Heading1"/>
        <w:keepNext/>
      </w:pPr>
      <w:r>
        <w:t>3. Objeto de la propuesta</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Prestar servicios profesionales de Ingeniería de Sistemas a SERINTSA IPS bajo un enfoque integral que combine: (i) la ejecución de la actualización, migración, integración y modernización de procesos, aplicaciones y programas antiguos, tomando como base el estudio de necesidades realizado durante la contratación previa; y (ii) el soporte tecnológico requerido para contribuir a la continuidad de la operación institucional. El servicio incluye el diseño y desarrollo de software, aplicaciones, componentes, integraciones y automatizaciones necesarias para la modernización, así como la atención y seguimiento de requerimientos relacionados con equipos de cómputo, impresoras, periféricos, software institucional y conectividad de usuario dentro del alcance acordado.</w:t>
      </w:r>
    </w:p>
    <w:p>
      <w:pPr>
        <w:spacing w:after="120" w:before="0" w:line="259" w:lineRule="auto"/>
      </w:pPr>
      <w:r>
        <w:rPr>
          <w:rFonts w:ascii="Aptos" w:hAnsi="Aptos"/>
          <w:b w:val="0"/>
          <w:i w:val="0"/>
          <w:color w:val="263238"/>
          <w:sz w:val="21"/>
        </w:rPr>
        <w:t>La prestación se desarrollará bajo modalidad OPS por un valor mensual de SIETE MILLONES DE PESOS COLOMBIANOS ($7.000.000 COP), bajo un esquema de trabajo continuo orientado a resultados y priorización conjunta.</w:t>
      </w:r>
    </w:p>
    <w:p>
      <w:pPr>
        <w:pStyle w:val="Heading1"/>
        <w:keepNext/>
      </w:pPr>
      <w:r>
        <w:t>4. Objetivos del servicio</w:t>
      </w:r>
    </w:p>
    <w:p>
      <w:pPr>
        <w:pStyle w:val="ListBullet"/>
        <w:spacing w:after="60" w:line="252" w:lineRule="auto"/>
      </w:pPr>
      <w:r>
        <w:rPr>
          <w:rFonts w:ascii="Aptos" w:hAnsi="Aptos"/>
          <w:color w:val="263238"/>
          <w:sz w:val="20"/>
        </w:rPr>
      </w:r>
      <w:r>
        <w:rPr>
          <w:rFonts w:ascii="Aptos" w:hAnsi="Aptos"/>
          <w:color w:val="263238"/>
          <w:sz w:val="20"/>
        </w:rPr>
        <w:t>Ejecutar las soluciones tecnológicas derivadas del estudio de necesidades realizado previamente en las diferentes áreas de SERINTSA IPS.</w:t>
      </w:r>
    </w:p>
    <w:p>
      <w:pPr>
        <w:pStyle w:val="ListBullet"/>
        <w:spacing w:after="60" w:line="252" w:lineRule="auto"/>
      </w:pPr>
      <w:r>
        <w:rPr>
          <w:rFonts w:ascii="Aptos" w:hAnsi="Aptos"/>
          <w:color w:val="263238"/>
          <w:sz w:val="20"/>
        </w:rPr>
      </w:r>
      <w:r>
        <w:rPr>
          <w:rFonts w:ascii="Aptos" w:hAnsi="Aptos"/>
          <w:color w:val="263238"/>
          <w:sz w:val="20"/>
        </w:rPr>
        <w:t>Convertir las necesidades ya identificadas en proyectos y acciones concretas de actualización, automatización, integración, migración y modernización.</w:t>
      </w:r>
    </w:p>
    <w:p>
      <w:pPr>
        <w:pStyle w:val="ListBullet"/>
        <w:spacing w:after="60" w:line="252" w:lineRule="auto"/>
      </w:pPr>
      <w:r>
        <w:rPr>
          <w:rFonts w:ascii="Aptos" w:hAnsi="Aptos"/>
          <w:color w:val="263238"/>
          <w:sz w:val="20"/>
        </w:rPr>
      </w:r>
      <w:r>
        <w:rPr>
          <w:rFonts w:ascii="Aptos" w:hAnsi="Aptos"/>
          <w:color w:val="263238"/>
          <w:sz w:val="20"/>
        </w:rPr>
        <w:t>Actualizar, migrar, integrar o sustituir progresivamente sistemas, aplicaciones heredadas, bases de datos y herramientas locales cuya tecnología limite la operación o su evolución.</w:t>
      </w:r>
    </w:p>
    <w:p>
      <w:pPr>
        <w:pStyle w:val="ListBullet"/>
        <w:spacing w:after="60" w:line="252" w:lineRule="auto"/>
      </w:pPr>
      <w:r>
        <w:rPr>
          <w:rFonts w:ascii="Aptos" w:hAnsi="Aptos"/>
          <w:color w:val="263238"/>
          <w:sz w:val="20"/>
        </w:rPr>
      </w:r>
      <w:r>
        <w:rPr>
          <w:rFonts w:ascii="Aptos" w:hAnsi="Aptos"/>
          <w:color w:val="263238"/>
          <w:sz w:val="20"/>
        </w:rPr>
        <w:t>Definir y ejecutar rutas de modernización considerando impacto, viabilidad, riesgo, continuidad operativa, dependencias y sostenibilidad tecnológica.</w:t>
      </w:r>
    </w:p>
    <w:p>
      <w:pPr>
        <w:pStyle w:val="ListBullet"/>
        <w:spacing w:after="60" w:line="252" w:lineRule="auto"/>
      </w:pPr>
      <w:r>
        <w:rPr>
          <w:rFonts w:ascii="Aptos" w:hAnsi="Aptos"/>
          <w:color w:val="263238"/>
          <w:sz w:val="20"/>
        </w:rPr>
      </w:r>
      <w:r>
        <w:rPr>
          <w:rFonts w:ascii="Aptos" w:hAnsi="Aptos"/>
          <w:color w:val="263238"/>
          <w:sz w:val="20"/>
        </w:rPr>
        <w:t>Diseñar, programar e implementar las soluciones tecnológicas modernas que sean requeridas para los procesos priorizados, sin limitar el servicio a una tecnología, lenguaje o tipo de aplicación específico.</w:t>
      </w:r>
    </w:p>
    <w:p>
      <w:pPr>
        <w:pStyle w:val="ListBullet"/>
        <w:spacing w:after="60" w:line="252" w:lineRule="auto"/>
      </w:pPr>
      <w:r>
        <w:rPr>
          <w:rFonts w:ascii="Aptos" w:hAnsi="Aptos"/>
          <w:color w:val="263238"/>
          <w:sz w:val="20"/>
        </w:rPr>
      </w:r>
      <w:r>
        <w:rPr>
          <w:rFonts w:ascii="Aptos" w:hAnsi="Aptos"/>
          <w:color w:val="263238"/>
          <w:sz w:val="20"/>
        </w:rPr>
        <w:t>Reducir progresivamente la dependencia de tecnologías antiguas mediante actualización, migración, integración, sustitución y nuevos desarrollos cuando sean necesarios.</w:t>
      </w:r>
    </w:p>
    <w:p>
      <w:pPr>
        <w:pStyle w:val="ListBullet"/>
        <w:spacing w:after="60" w:line="252" w:lineRule="auto"/>
      </w:pPr>
      <w:r>
        <w:rPr>
          <w:rFonts w:ascii="Aptos" w:hAnsi="Aptos"/>
          <w:color w:val="263238"/>
          <w:sz w:val="20"/>
        </w:rPr>
      </w:r>
      <w:r>
        <w:rPr>
          <w:rFonts w:ascii="Aptos" w:hAnsi="Aptos"/>
          <w:color w:val="263238"/>
          <w:sz w:val="20"/>
        </w:rPr>
        <w:t>Brindar soporte tecnológico oportuno a los usuarios y sedes cubiertas, atendiendo incidentes y requerimientos asociados con computadores, impresoras, periféricos, software institucional, conectividad de usuario y demás recursos tecnológicos dentro del alcance del servicio, utilizando la mesa de ayuda para su registro y trazabilidad.</w:t>
      </w:r>
    </w:p>
    <w:p>
      <w:pPr>
        <w:pStyle w:val="ListBullet"/>
        <w:spacing w:after="60" w:line="252" w:lineRule="auto"/>
      </w:pPr>
      <w:r>
        <w:rPr>
          <w:rFonts w:ascii="Aptos" w:hAnsi="Aptos"/>
          <w:color w:val="263238"/>
          <w:sz w:val="20"/>
        </w:rPr>
        <w:t>Promover mejores prácticas de seguridad, documentación, respaldo, control de cambios y continuidad.</w:t>
      </w:r>
    </w:p>
    <w:p>
      <w:pPr>
        <w:pStyle w:val="ListBullet"/>
        <w:spacing w:after="60" w:line="252" w:lineRule="auto"/>
      </w:pPr>
      <w:r>
        <w:rPr>
          <w:rFonts w:ascii="Aptos" w:hAnsi="Aptos"/>
          <w:color w:val="263238"/>
          <w:sz w:val="20"/>
        </w:rPr>
      </w:r>
      <w:r>
        <w:rPr>
          <w:rFonts w:ascii="Aptos" w:hAnsi="Aptos"/>
          <w:color w:val="263238"/>
          <w:sz w:val="20"/>
        </w:rPr>
        <w:t>Ejecutar una hoja de ruta tecnológica que permita a SERINTSA IPS modernizar de forma gradual sus aplicaciones y procesos, avanzando hacia servicios digitales más integrados, accesibles y orientados al usuario.</w:t>
      </w:r>
    </w:p>
    <w:p>
      <w:pPr>
        <w:pStyle w:val="Heading1"/>
        <w:keepNext/>
      </w:pPr>
      <w:r>
        <w:t>5. Principios de intervención</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Principio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Aplicación en el servicio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Estudio previo realizado y enfoque en ejecución</w:t>
            </w:r>
          </w:p>
        </w:tc>
        <w:tc>
          <w:tcPr>
            <w:tcW w:type="dxa" w:w="6690"/>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El estudio de las necesidades de las áreas ya fue realizado. La nueva OPS se concentra en ejecutar soluciones; únicamente se harán verificaciones técnicas puntuales cuando sean indispensables para una implementación segura y correcta.</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Modernización progresiva y ejecución continua</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La actualización, migración y sustitución de procesos y aplicaciones antiguas se ejecutará por etapas, preservando la continuidad operativa durante la transición.</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Desarrollo incluido para modernizar</w:t>
            </w:r>
          </w:p>
        </w:tc>
        <w:tc>
          <w:tcPr>
            <w:tcW w:type="dxa" w:w="6690"/>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La prestación incluye la programación y desarrollo de aplicaciones, módulos, integraciones, APIs, automatizaciones y demás componentes que sean necesarios para reemplazar o modernizar tecnologías heredadas.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Interoperabilidad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nuevas decisiones tecnológicas buscarán disminuir islas de información y facilitar integraciones futuras.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Seguridad desde el diseño</w:t>
            </w:r>
          </w:p>
        </w:tc>
        <w:tc>
          <w:tcPr>
            <w:tcW w:type="dxa" w:w="6690"/>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Los accesos, permisos, trazabilidad, respaldo y tratamiento de información serán considerados desde el diseño y ejecución de cada iniciativa.</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Prioridad por valor</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actividades se ordenarán según impacto operativo, asistencial, riesgo, urgencia y beneficio esperado.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Documentación y sostenibilidad</w:t>
            </w:r>
          </w:p>
        </w:tc>
        <w:tc>
          <w:tcPr>
            <w:tcW w:type="dxa" w:w="6690"/>
            <w:tcMar>
              <w:top w:w="105" w:type="dxa"/>
              <w:start w:w="120" w:type="dxa"/>
              <w:bottom w:w="105" w:type="dxa"/>
              <w:end w:w="120" w:type="dxa"/>
            </w:tcMar>
            <w:vAlign w:val="top"/>
          </w:tcPr>
          <w:p>
            <w:pPr>
              <w:spacing w:after="0"/>
            </w:pPr>
            <w:r>
              <w:rPr>
                <w:rFonts w:ascii="Aptos" w:hAnsi="Aptos"/>
                <w:color w:val="263238"/>
                <w:sz w:val="18"/>
              </w:rPr>
              <w:t>Las soluciones implementadas deberán quedar suficientemente documentadas para facilitar su soporte y evolución.</w:t>
            </w:r>
          </w:p>
        </w:tc>
      </w:tr>
    </w:tbl>
    <w:p>
      <w:pPr>
        <w:spacing w:after="80"/>
      </w:pPr>
    </w:p>
    <w:p>
      <w:pPr>
        <w:pStyle w:val="Heading1"/>
        <w:keepNext/>
      </w:pPr>
      <w:r>
        <w:t>6. Alcance general de los servicios profesionales</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El alcance corresponde a una prestación profesional integral organizada alrededor de dos líneas que se desarrollarán de manera simultánea: la modernización tecnológica de procesos y aplicaciones antiguas, y el soporte tecnológico necesario para sostener la operación diaria de SERINTSA IPS y sus sedes cubiertas. Las actividades de modernización se ejecutarán con base en el estudio previo ya realizado, mientras que los requerimientos de soporte se gestionarán de acuerdo con su prioridad y criticidad operativa. El servicio comprende, entre otras, las siguientes líneas de trabajo:</w:t>
      </w:r>
    </w:p>
    <w:p>
      <w:pPr>
        <w:pStyle w:val="Heading2"/>
        <w:keepNext/>
      </w:pPr>
      <w:r/>
      <w:r>
        <w:rPr/>
        <w:t>6.1 Ejecución de prioridades de modernización</w:t>
      </w:r>
    </w:p>
    <w:p>
      <w:pPr>
        <w:pStyle w:val="ListBullet"/>
        <w:spacing w:after="60" w:line="252" w:lineRule="auto"/>
      </w:pPr>
      <w:r>
        <w:rPr>
          <w:rFonts w:ascii="Aptos" w:hAnsi="Aptos"/>
          <w:color w:val="263238"/>
          <w:sz w:val="20"/>
        </w:rPr>
      </w:r>
      <w:r>
        <w:rPr>
          <w:rFonts w:ascii="Aptos" w:hAnsi="Aptos"/>
          <w:color w:val="263238"/>
          <w:sz w:val="20"/>
        </w:rPr>
        <w:t>Toma como punto de partida del estudio y levantamiento de necesidades ya realizado durante la contratación previa.</w:t>
      </w:r>
    </w:p>
    <w:p>
      <w:pPr>
        <w:pStyle w:val="ListBullet"/>
        <w:spacing w:after="60" w:line="252" w:lineRule="auto"/>
      </w:pPr>
      <w:r>
        <w:rPr>
          <w:rFonts w:ascii="Aptos" w:hAnsi="Aptos"/>
          <w:color w:val="263238"/>
          <w:sz w:val="20"/>
        </w:rPr>
      </w:r>
      <w:r>
        <w:rPr>
          <w:rFonts w:ascii="Aptos" w:hAnsi="Aptos"/>
          <w:color w:val="263238"/>
          <w:sz w:val="20"/>
        </w:rPr>
        <w:t>Selección y organización de las necesidades previamente identificadas para convertirlas en acciones concretas de modernización.</w:t>
      </w:r>
    </w:p>
    <w:p>
      <w:pPr>
        <w:pStyle w:val="ListBullet"/>
        <w:spacing w:after="60" w:line="252" w:lineRule="auto"/>
      </w:pPr>
      <w:r>
        <w:rPr>
          <w:rFonts w:ascii="Aptos" w:hAnsi="Aptos"/>
          <w:color w:val="263238"/>
          <w:sz w:val="20"/>
        </w:rPr>
      </w:r>
      <w:r>
        <w:rPr>
          <w:rFonts w:ascii="Aptos" w:hAnsi="Aptos"/>
          <w:color w:val="263238"/>
          <w:sz w:val="20"/>
        </w:rPr>
        <w:t>Priorización de procesos manuales, repetitivos, fragmentados y aplicaciones antiguas que deban ser intervenidos.</w:t>
      </w:r>
    </w:p>
    <w:p>
      <w:pPr>
        <w:pStyle w:val="ListBullet"/>
        <w:spacing w:after="60" w:line="252" w:lineRule="auto"/>
      </w:pPr>
      <w:r>
        <w:rPr>
          <w:rFonts w:ascii="Aptos" w:hAnsi="Aptos"/>
          <w:color w:val="263238"/>
          <w:sz w:val="20"/>
        </w:rPr>
      </w:r>
      <w:r>
        <w:rPr>
          <w:rFonts w:ascii="Aptos" w:hAnsi="Aptos"/>
          <w:color w:val="263238"/>
          <w:sz w:val="20"/>
        </w:rPr>
        <w:t>Validación puntual de dependencias técnicas, datos, accesos e integraciones únicamente cuando sea necesaria para ejecutar una actualización, migración, integración, sustitución o nuevo desarrollo.</w:t>
      </w:r>
    </w:p>
    <w:p>
      <w:pPr>
        <w:pStyle w:val="ListBullet"/>
        <w:spacing w:after="60" w:line="252" w:lineRule="auto"/>
      </w:pPr>
      <w:r>
        <w:rPr>
          <w:rFonts w:ascii="Aptos" w:hAnsi="Aptos"/>
          <w:color w:val="263238"/>
          <w:sz w:val="20"/>
        </w:rPr>
      </w:r>
      <w:r>
        <w:rPr>
          <w:rFonts w:ascii="Aptos" w:hAnsi="Aptos"/>
          <w:color w:val="263238"/>
          <w:sz w:val="20"/>
        </w:rPr>
        <w:t>Programación y ejecución progresiva de las iniciativas de modernización de acuerdo con criticidad, impacto y prioridad institucional.</w:t>
      </w:r>
    </w:p>
    <w:p>
      <w:pPr>
        <w:pStyle w:val="Heading2"/>
        <w:keepNext/>
      </w:pPr>
      <w:r>
        <w:t>6.2 Arquitectura, integración y modernización de sistemas</w:t>
      </w:r>
    </w:p>
    <w:p>
      <w:pPr>
        <w:pStyle w:val="ListBullet"/>
        <w:spacing w:after="60" w:line="252" w:lineRule="auto"/>
      </w:pPr>
      <w:r>
        <w:rPr>
          <w:rFonts w:ascii="Aptos" w:hAnsi="Aptos"/>
          <w:color w:val="263238"/>
          <w:sz w:val="20"/>
        </w:rPr>
      </w:r>
      <w:r>
        <w:rPr>
          <w:rFonts w:ascii="Aptos" w:hAnsi="Aptos"/>
          <w:color w:val="263238"/>
          <w:sz w:val="20"/>
        </w:rPr>
        <w:t>Revisión técnica específica de aplicaciones existentes, bases de datos, dependencias e interfaces para ejecutar su ruta de actualización o migración.</w:t>
      </w:r>
    </w:p>
    <w:p>
      <w:pPr>
        <w:pStyle w:val="ListBullet"/>
        <w:spacing w:after="60" w:line="252" w:lineRule="auto"/>
      </w:pPr>
      <w:r>
        <w:rPr>
          <w:rFonts w:ascii="Aptos" w:hAnsi="Aptos"/>
          <w:color w:val="263238"/>
          <w:sz w:val="20"/>
        </w:rPr>
        <w:t>Definición de alternativas de integración y transición entre plataformas antiguas y nuevas soluciones tecnológicas.</w:t>
      </w:r>
    </w:p>
    <w:p>
      <w:pPr>
        <w:pStyle w:val="ListBullet"/>
        <w:spacing w:after="60" w:line="252" w:lineRule="auto"/>
      </w:pPr>
      <w:r>
        <w:rPr>
          <w:rFonts w:ascii="Aptos" w:hAnsi="Aptos"/>
          <w:color w:val="263238"/>
          <w:sz w:val="20"/>
        </w:rPr>
        <w:t>Diseño de arquitecturas de software modernas, sostenibles, modulares y escalables para los procesos que sean priorizados.</w:t>
      </w:r>
    </w:p>
    <w:p>
      <w:pPr>
        <w:pStyle w:val="ListBullet"/>
        <w:spacing w:after="60" w:line="252" w:lineRule="auto"/>
      </w:pPr>
      <w:r>
        <w:rPr>
          <w:rFonts w:ascii="Aptos" w:hAnsi="Aptos"/>
          <w:color w:val="263238"/>
          <w:sz w:val="20"/>
        </w:rPr>
        <w:t>Planificación de migraciones graduales desde tecnologías heredadas hacia plataformas actuales, procurando continuidad operativa y control de riesgos.</w:t>
      </w:r>
    </w:p>
    <w:p>
      <w:pPr>
        <w:pStyle w:val="ListBullet"/>
        <w:spacing w:after="60" w:line="252" w:lineRule="auto"/>
      </w:pPr>
      <w:r>
        <w:rPr>
          <w:rFonts w:ascii="Aptos" w:hAnsi="Aptos"/>
          <w:color w:val="263238"/>
          <w:sz w:val="20"/>
        </w:rPr>
        <w:t>Diseño de mecanismos de sincronización, intercambio o consolidación de información según viabilidad técnica.</w:t>
      </w:r>
    </w:p>
    <w:p>
      <w:pPr>
        <w:pStyle w:val="Heading2"/>
        <w:keepNext/>
      </w:pPr>
      <w:r/>
      <w:r>
        <w:rPr/>
        <w:t>6.3 Desarrollo de software y automatización incluidos en la modernización</w:t>
      </w:r>
    </w:p>
    <w:p>
      <w:pPr>
        <w:pStyle w:val="ListBullet"/>
        <w:spacing w:after="60" w:line="252" w:lineRule="auto"/>
      </w:pPr>
      <w:r>
        <w:rPr>
          <w:rFonts w:ascii="Aptos" w:hAnsi="Aptos"/>
          <w:color w:val="263238"/>
          <w:sz w:val="20"/>
        </w:rPr>
      </w:r>
      <w:r>
        <w:rPr>
          <w:rFonts w:ascii="Aptos" w:hAnsi="Aptos"/>
          <w:color w:val="263238"/>
          <w:sz w:val="20"/>
        </w:rPr>
        <w:t>Diseño, programación y construcción de cualquier solución de software que resulte necesaria para cumplir los objetivos de modernización definidos a partir del estudio previo.</w:t>
      </w:r>
    </w:p>
    <w:p>
      <w:pPr>
        <w:pStyle w:val="ListBullet"/>
        <w:spacing w:after="60" w:line="252" w:lineRule="auto"/>
      </w:pPr>
      <w:r>
        <w:rPr>
          <w:rFonts w:ascii="Aptos" w:hAnsi="Aptos"/>
          <w:color w:val="263238"/>
          <w:sz w:val="20"/>
        </w:rPr>
      </w:r>
      <w:r>
        <w:rPr>
          <w:rFonts w:ascii="Aptos" w:hAnsi="Aptos"/>
          <w:color w:val="263238"/>
          <w:sz w:val="20"/>
        </w:rPr>
        <w:t>Automatización de tareas, flujos e intercambios de información que actualmente generen reprocesos, demoras, duplicidad o dependencia de procedimientos manuales.</w:t>
      </w:r>
    </w:p>
    <w:p>
      <w:pPr>
        <w:pStyle w:val="ListBullet"/>
        <w:spacing w:after="60" w:line="252" w:lineRule="auto"/>
      </w:pPr>
      <w:r>
        <w:rPr>
          <w:rFonts w:ascii="Aptos" w:hAnsi="Aptos"/>
          <w:color w:val="263238"/>
          <w:sz w:val="20"/>
        </w:rPr>
      </w:r>
      <w:r>
        <w:rPr>
          <w:rFonts w:ascii="Aptos" w:hAnsi="Aptos"/>
          <w:color w:val="263238"/>
          <w:sz w:val="20"/>
        </w:rPr>
        <w:t>Desarrollo de nuevas aplicaciones o componentes para reemplazar progresivamente herramientas antiguas cuando su tecnología limite la operación, integración, seguridad, mantenimiento o evolución institucional.</w:t>
      </w:r>
    </w:p>
    <w:p>
      <w:pPr>
        <w:pStyle w:val="ListBullet"/>
        <w:spacing w:after="60" w:line="252" w:lineRule="auto"/>
      </w:pPr>
      <w:r>
        <w:rPr>
          <w:rFonts w:ascii="Aptos" w:hAnsi="Aptos"/>
          <w:color w:val="263238"/>
          <w:sz w:val="20"/>
        </w:rPr>
      </w:r>
      <w:r>
        <w:rPr>
          <w:rFonts w:ascii="Aptos" w:hAnsi="Aptos"/>
          <w:color w:val="263238"/>
          <w:sz w:val="20"/>
        </w:rPr>
        <w:t>Desarrollo de aplicaciones web, módulos, componentes, APIs, integraciones, servicios, reportes, utilidades, scripts y demás elementos de software requeridos para ejecutar la modernización.</w:t>
      </w:r>
    </w:p>
    <w:p>
      <w:pPr>
        <w:pStyle w:val="ListBullet"/>
        <w:spacing w:after="60" w:line="252" w:lineRule="auto"/>
      </w:pPr>
      <w:r>
        <w:rPr>
          <w:rFonts w:ascii="Aptos" w:hAnsi="Aptos"/>
          <w:color w:val="263238"/>
          <w:sz w:val="20"/>
        </w:rPr>
      </w:r>
      <w:r>
        <w:rPr>
          <w:rFonts w:ascii="Aptos" w:hAnsi="Aptos"/>
          <w:color w:val="263238"/>
          <w:sz w:val="20"/>
        </w:rPr>
        <w:t>Realización de pruebas, correcciones, ajustes, documentación, despliegue, implementación y acompañamiento en la puesta en operación de los desarrollos realizados.</w:t>
      </w:r>
    </w:p>
    <w:p>
      <w:pPr>
        <w:pStyle w:val="Heading2"/>
        <w:keepNext/>
      </w:pPr>
      <w:r>
        <w:t>6.4 Gestión de datos e información</w:t>
      </w:r>
    </w:p>
    <w:p>
      <w:pPr>
        <w:pStyle w:val="ListBullet"/>
        <w:spacing w:after="60" w:line="252" w:lineRule="auto"/>
      </w:pPr>
      <w:r>
        <w:rPr>
          <w:rFonts w:ascii="Aptos" w:hAnsi="Aptos"/>
          <w:color w:val="263238"/>
          <w:sz w:val="20"/>
        </w:rPr>
        <w:t>Revisión de estructuras de datos y calidad de información en procesos priorizados.</w:t>
      </w:r>
    </w:p>
    <w:p>
      <w:pPr>
        <w:pStyle w:val="ListBullet"/>
        <w:spacing w:after="60" w:line="252" w:lineRule="auto"/>
      </w:pPr>
      <w:r>
        <w:rPr>
          <w:rFonts w:ascii="Aptos" w:hAnsi="Aptos"/>
          <w:color w:val="263238"/>
          <w:sz w:val="20"/>
        </w:rPr>
        <w:t>Diseño y ejecución de estrategias de migración, depuración, consolidación y respaldo de información necesarias para trasladar procesos hacia soluciones modernas.</w:t>
      </w:r>
    </w:p>
    <w:p>
      <w:pPr>
        <w:pStyle w:val="ListBullet"/>
        <w:spacing w:after="60" w:line="252" w:lineRule="auto"/>
      </w:pPr>
      <w:r>
        <w:rPr>
          <w:rFonts w:ascii="Aptos" w:hAnsi="Aptos"/>
          <w:color w:val="263238"/>
          <w:sz w:val="20"/>
        </w:rPr>
        <w:t>Diseño de reportes, consultas o mecanismos de explotación de información que apoyen la gestión.</w:t>
      </w:r>
    </w:p>
    <w:p>
      <w:pPr>
        <w:pStyle w:val="ListBullet"/>
        <w:spacing w:after="60" w:line="252" w:lineRule="auto"/>
      </w:pPr>
      <w:r>
        <w:rPr>
          <w:rFonts w:ascii="Aptos" w:hAnsi="Aptos"/>
          <w:color w:val="263238"/>
          <w:sz w:val="20"/>
        </w:rPr>
        <w:t>Definición de controles básicos de acceso, trazabilidad y consistencia de datos.</w:t>
      </w:r>
    </w:p>
    <w:p>
      <w:pPr>
        <w:pStyle w:val="Heading2"/>
        <w:keepNext/>
      </w:pPr>
      <w:r>
        <w:t>6.5 Soporte tecnológico e infraestructura de usuario</w:t>
      </w:r>
    </w:p>
    <w:p>
      <w:pPr>
        <w:pStyle w:val="ListBullet"/>
        <w:spacing w:after="60" w:line="252" w:lineRule="auto"/>
      </w:pPr>
      <w:r>
        <w:rPr>
          <w:rFonts w:ascii="Aptos" w:hAnsi="Aptos"/>
          <w:b w:val="0"/>
          <w:color w:val="263238"/>
          <w:sz w:val="21"/>
        </w:rPr>
        <w:t>Atención y seguimiento de incidentes relacionados con equipos de cómputo, impresoras, periféricos, software institucional y conectividad de usuario, incluyendo el acompañamiento sobre TNS en los procesos de facturación y contabilidad.</w:t>
      </w:r>
    </w:p>
    <w:p>
      <w:pPr>
        <w:pStyle w:val="ListBullet"/>
        <w:spacing w:after="60" w:line="252" w:lineRule="auto"/>
      </w:pPr>
      <w:r>
        <w:rPr>
          <w:rFonts w:ascii="Aptos" w:hAnsi="Aptos"/>
          <w:color w:val="263238"/>
          <w:sz w:val="20"/>
        </w:rPr>
        <w:t>Diagnóstico y solución de requerimientos dentro del alcance técnico disponible.</w:t>
      </w:r>
    </w:p>
    <w:p>
      <w:pPr>
        <w:pStyle w:val="ListBullet"/>
        <w:spacing w:after="60" w:line="252" w:lineRule="auto"/>
      </w:pPr>
      <w:r>
        <w:rPr>
          <w:rFonts w:ascii="Aptos" w:hAnsi="Aptos"/>
          <w:color w:val="263238"/>
          <w:sz w:val="20"/>
        </w:rPr>
        <w:t>Escalamiento documentado de fallas que requieran repuestos, garantías, proveedores o servicios especializados.</w:t>
      </w:r>
    </w:p>
    <w:p>
      <w:pPr>
        <w:pStyle w:val="ListBullet"/>
        <w:spacing w:after="60" w:line="252" w:lineRule="auto"/>
      </w:pPr>
      <w:r>
        <w:rPr>
          <w:rFonts w:ascii="Aptos" w:hAnsi="Aptos"/>
          <w:color w:val="263238"/>
          <w:sz w:val="20"/>
        </w:rPr>
        <w:t>Apoyo en organización del inventario y trazabilidad de activos tecnológicos, cuando sea priorizado.</w:t>
      </w:r>
    </w:p>
    <w:p>
      <w:pPr>
        <w:pStyle w:val="Heading2"/>
        <w:keepNext/>
      </w:pPr>
      <w:r>
        <w:t>6.6 Documentación, capacitación y acompañamiento</w:t>
      </w:r>
    </w:p>
    <w:p>
      <w:pPr>
        <w:pStyle w:val="ListBullet"/>
        <w:spacing w:after="60" w:line="252" w:lineRule="auto"/>
      </w:pPr>
      <w:r>
        <w:rPr>
          <w:rFonts w:ascii="Aptos" w:hAnsi="Aptos"/>
          <w:color w:val="263238"/>
          <w:sz w:val="20"/>
        </w:rPr>
        <w:t>Documentación funcional y técnica de las soluciones implementadas.</w:t>
      </w:r>
    </w:p>
    <w:p>
      <w:pPr>
        <w:pStyle w:val="ListBullet"/>
        <w:spacing w:after="60" w:line="252" w:lineRule="auto"/>
      </w:pPr>
      <w:r>
        <w:rPr>
          <w:rFonts w:ascii="Aptos" w:hAnsi="Aptos"/>
          <w:color w:val="263238"/>
          <w:sz w:val="20"/>
        </w:rPr>
        <w:t>Elaboración de guías o procedimientos cuando sean necesarios para la adopción de cambios.</w:t>
      </w:r>
    </w:p>
    <w:p>
      <w:pPr>
        <w:pStyle w:val="ListBullet"/>
        <w:spacing w:after="60" w:line="252" w:lineRule="auto"/>
      </w:pPr>
      <w:r>
        <w:rPr>
          <w:rFonts w:ascii="Aptos" w:hAnsi="Aptos"/>
          <w:color w:val="263238"/>
          <w:sz w:val="20"/>
        </w:rPr>
        <w:t>Capacitación básica a usuarios sobre herramientas o procesos modificados.</w:t>
      </w:r>
    </w:p>
    <w:p>
      <w:pPr>
        <w:pStyle w:val="ListBullet"/>
        <w:spacing w:after="60" w:line="252" w:lineRule="auto"/>
      </w:pPr>
      <w:r>
        <w:rPr>
          <w:rFonts w:ascii="Aptos" w:hAnsi="Aptos"/>
          <w:color w:val="263238"/>
          <w:sz w:val="20"/>
        </w:rPr>
        <w:t>Acompañamiento durante estabilización, seguimiento y mejora continua.</w:t>
      </w:r>
    </w:p>
    <w:p>
      <w:pPr>
        <w:pStyle w:val="Heading1"/>
        <w:keepNext/>
      </w:pPr>
      <w:r>
        <w:t>7. Frentes de modernización previamente identificados</w:t>
      </w:r>
    </w:p>
    <w:p>
      <w:pPr>
        <w:spacing w:after="120" w:before="0" w:line="259" w:lineRule="auto"/>
      </w:pPr>
      <w:r>
        <w:rPr>
          <w:rFonts w:ascii="Aptos" w:hAnsi="Aptos"/>
          <w:b w:val="0"/>
          <w:i w:val="0"/>
          <w:color w:val="263238"/>
          <w:sz w:val="21"/>
        </w:rPr>
      </w:r>
      <w:r>
        <w:rPr>
          <w:rFonts w:ascii="Aptos" w:hAnsi="Aptos"/>
          <w:b w:val="0"/>
          <w:i w:val="0"/>
          <w:color w:val="263238"/>
          <w:sz w:val="21"/>
        </w:rPr>
        <w:t>El estudio realizado durante la contratación previa permitió identificar los siguientes componentes como frentes relevantes de modernización. En esta nueva etapa el propósito será ejecutar las soluciones necesarias sobre estos y otros procesos priorizados, realizando únicamente las verificaciones técnicas indispensables para su implementación.</w:t>
      </w:r>
    </w:p>
    <w:p>
      <w:pPr>
        <w:pStyle w:val="Heading2"/>
        <w:keepNext/>
      </w:pPr>
      <w:r>
        <w:t>7.1 Modernización de ASIS y aplicaciones heredadas</w:t>
      </w:r>
    </w:p>
    <w:p>
      <w:pPr>
        <w:spacing w:after="120" w:before="0" w:line="259" w:lineRule="auto"/>
      </w:pPr>
      <w:r>
        <w:rPr>
          <w:rFonts w:ascii="Aptos" w:hAnsi="Aptos"/>
          <w:b w:val="0"/>
          <w:i w:val="0"/>
          <w:color w:val="263238"/>
          <w:sz w:val="21"/>
        </w:rPr>
      </w:r>
      <w:r>
        <w:rPr>
          <w:rFonts w:ascii="Aptos" w:hAnsi="Aptos"/>
          <w:b w:val="0"/>
          <w:i w:val="0"/>
          <w:color w:val="263238"/>
          <w:sz w:val="21"/>
        </w:rPr>
        <w:t>Con base en el conocimiento adquirido durante el estudio previo sobre ASIS y sus dependencias en los procesos de citas, historias clínicas y atención, se ejecutará progresivamente una ruta de modernización orientada a trasladar procesos, datos y funcionalidades hacia tecnologías modernas, especialmente soluciones web e integrables. Para ello se realizarán los desarrollos de software necesarios para reducir de forma controlada la dependencia de Microsoft Access y de otros componentes antiguos del ecosistema actual.</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Enfoque de transición</w:t>
            </w:r>
          </w:p>
          <w:p>
            <w:pPr>
              <w:spacing w:after="0" w:line="252" w:lineRule="auto"/>
            </w:pPr>
            <w:r>
              <w:rPr>
                <w:rFonts w:ascii="Aptos" w:hAnsi="Aptos"/>
                <w:color w:val="263238"/>
                <w:sz w:val="20"/>
              </w:rPr>
              <w:t>El objetivo es reducir progresivamente la dependencia de ASIS, Microsoft Access y otros componentes antiguos, trasladando funciones y datos hacia tecnologías modernas mediante una transición planificada que preserve la continuidad de los procesos asistenciales y administrativos.</w:t>
            </w:r>
          </w:p>
        </w:tc>
      </w:tr>
    </w:tbl>
    <w:p>
      <w:pPr>
        <w:spacing w:after="40"/>
      </w:pPr>
    </w:p>
    <w:p>
      <w:pPr>
        <w:pStyle w:val="Heading2"/>
        <w:keepNext/>
      </w:pPr>
      <w:r>
        <w:t>7.2 Procesos de laboratorio</w:t>
      </w:r>
    </w:p>
    <w:p>
      <w:pPr>
        <w:spacing w:after="120" w:before="0" w:line="259" w:lineRule="auto"/>
      </w:pPr>
      <w:r>
        <w:rPr>
          <w:rFonts w:ascii="Aptos" w:hAnsi="Aptos"/>
          <w:b w:val="0"/>
          <w:i w:val="0"/>
          <w:color w:val="263238"/>
          <w:sz w:val="21"/>
        </w:rPr>
      </w:r>
      <w:r>
        <w:rPr>
          <w:rFonts w:ascii="Aptos" w:hAnsi="Aptos"/>
          <w:b w:val="0"/>
          <w:i w:val="0"/>
          <w:color w:val="263238"/>
          <w:sz w:val="21"/>
        </w:rPr>
        <w:t>Los procesos de generación, validación, almacenamiento, consulta y entrega de resultados de laboratorio fueron analizados durante la contratación previa, incluyendo el uso de herramientas locales antiguas y tareas manuales. La nueva etapa estará orientada a ejecutar acciones de digitalización y modernización que reduzcan reprocesos, disminuyan la dependencia de programas obsoletos y faciliten la integración con el ecosistema tecnológico institucional.</w:t>
      </w:r>
    </w:p>
    <w:p>
      <w:pPr>
        <w:spacing w:after="120" w:before="0" w:line="259" w:lineRule="auto"/>
      </w:pPr>
      <w:r>
        <w:rPr>
          <w:rFonts w:ascii="Aptos" w:hAnsi="Aptos"/>
          <w:b w:val="0"/>
          <w:i w:val="0"/>
          <w:color w:val="263238"/>
          <w:sz w:val="21"/>
        </w:rPr>
      </w:r>
      <w:r>
        <w:rPr>
          <w:rFonts w:ascii="Aptos" w:hAnsi="Aptos"/>
          <w:b w:val="0"/>
          <w:i w:val="0"/>
          <w:color w:val="263238"/>
          <w:sz w:val="21"/>
        </w:rPr>
        <w:t>A partir del estudio ya adelantado con el personal del área, se ejecutarán las acciones de modernización que correspondan, incluyendo rediseño de procesos, migración de información, automatización, integración con otros sistemas, sustitución progresiva de herramientas antiguas y desarrollo de nuevas soluciones cuando sean necesarias. Las verificaciones adicionales se limitarán a las dependencias técnicas y funcionales indispensables para implementar correctamente cada intervención.</w:t>
      </w:r>
    </w:p>
    <w:p>
      <w:pPr>
        <w:pStyle w:val="Heading2"/>
        <w:keepNext/>
      </w:pPr>
      <w:r>
        <w:t>7.3 Mesa de ayuda y soporte tecnológico</w:t>
      </w:r>
    </w:p>
    <w:p>
      <w:pPr>
        <w:spacing w:after="120" w:before="0" w:line="259" w:lineRule="auto"/>
      </w:pPr>
      <w:r>
        <w:rPr>
          <w:rFonts w:ascii="Aptos" w:hAnsi="Aptos"/>
          <w:b w:val="0"/>
          <w:i w:val="0"/>
          <w:color w:val="263238"/>
          <w:sz w:val="21"/>
        </w:rPr>
        <w:t>SERINTSA IPS dispone de una mesa de ayuda desarrollada en PHP bajo entorno web. Esta herramienta se utilizará para organizar y dar trazabilidad a los requerimientos de soporte tecnológico y, dentro de la estrategia general de modernización, podrá actualizarse técnica y funcionalmente cuando se identifiquen necesidades de seguridad, integración, usabilidad, mantenimiento o nuevas capacidades.</w:t>
      </w:r>
    </w:p>
    <w:p>
      <w:pPr>
        <w:spacing w:after="120" w:before="0" w:line="259" w:lineRule="auto"/>
      </w:pPr>
      <w:r>
        <w:rPr>
          <w:rFonts w:ascii="Aptos" w:hAnsi="Aptos"/>
          <w:b w:val="0"/>
          <w:i w:val="0"/>
          <w:color w:val="263238"/>
          <w:sz w:val="21"/>
        </w:rPr>
        <w:t>La atención podrá comprender incidentes sobre computadores, impresoras, periféricos, software y conectividad de usuario, con registro, seguimiento, documentación de solución y escalamiento cuando se requiera intervención de terceros.</w:t>
      </w:r>
    </w:p>
    <w:p>
      <w:pPr>
        <w:pStyle w:val="Heading2"/>
        <w:spacing w:after="100" w:line="259" w:lineRule="auto"/>
        <w:keepNext/>
      </w:pPr>
      <w:r>
        <w:rPr>
          <w:rFonts w:ascii="Aptos Display" w:hAnsi="Aptos Display"/>
          <w:b/>
          <w:color w:val="2F75B5"/>
          <w:sz w:val="24"/>
        </w:rPr>
        <w:t>7.4 Soporte al software TNS - facturación y contabilidad</w:t>
      </w:r>
    </w:p>
    <w:p>
      <w:pPr>
        <w:spacing w:after="120" w:line="259" w:lineRule="auto"/>
      </w:pPr>
      <w:r>
        <w:rPr>
          <w:rFonts w:ascii="Aptos" w:hAnsi="Aptos"/>
          <w:b w:val="0"/>
          <w:color w:val="263238"/>
          <w:sz w:val="21"/>
        </w:rPr>
        <w:t>Como parte de la prestación se brindará acompañamiento técnico a las áreas de facturación y contabilidad en relación con el software TNS actualmente utilizado por la institución. El soporte estará orientado a la atención de requerimientos de usuario, revisión inicial de incidentes, configuración dentro de los permisos disponibles, identificación de causas, apoyo en la operación y coordinación de soluciones que permitan mantener la continuidad de los procesos administrativos.</w:t>
      </w:r>
    </w:p>
    <w:p>
      <w:pPr>
        <w:spacing w:after="120" w:line="259" w:lineRule="auto"/>
      </w:pPr>
      <w:r>
        <w:rPr>
          <w:rFonts w:ascii="Aptos" w:hAnsi="Aptos"/>
          <w:b w:val="0"/>
          <w:color w:val="263238"/>
          <w:sz w:val="21"/>
        </w:rPr>
        <w:t>Cuando una incidencia dependa de componentes internos del producto, licenciamiento, actualizaciones del fabricante, modificaciones propietarias o servicios especializados que excedan el acceso disponible, se realizará el diagnóstico inicial, la documentación del caso y el escalamiento o coordinación con el proveedor correspondiente.</w:t>
      </w:r>
    </w:p>
    <w:p>
      <w:pPr>
        <w:pStyle w:val="Heading2"/>
        <w:spacing w:after="100" w:line="259" w:lineRule="auto"/>
        <w:keepNext/>
      </w:pPr>
      <w:r>
        <w:rPr>
          <w:rFonts w:ascii="Aptos Display" w:hAnsi="Aptos Display"/>
          <w:b/>
          <w:color w:val="2F75B5"/>
          <w:sz w:val="24"/>
        </w:rPr>
        <w:t>7.5 Cobertura de sedes</w:t>
      </w:r>
    </w:p>
    <w:p>
      <w:pPr>
        <w:spacing w:after="120" w:line="259" w:lineRule="auto"/>
      </w:pPr>
      <w:r>
        <w:rPr>
          <w:rFonts w:ascii="Aptos" w:hAnsi="Aptos"/>
          <w:b w:val="0"/>
          <w:color w:val="263238"/>
          <w:sz w:val="21"/>
        </w:rPr>
        <w:t>El servicio tendrá cobertura sobre los requerimientos tecnológicos de la sede principal de SERINTSA IPS y de las sedes Farmaserintsa y CABE. La sede CABE corresponde a la operación ubicada en las instalaciones del Hospital de Ecopetrol. La atención se coordinará de acuerdo con la naturaleza y prioridad del requerimiento, utilizando soporte remoto cuando sea suficiente y desplazamiento presencial cuando la intervención requiera atención física en la sede correspondiente.</w:t>
      </w:r>
    </w:p>
    <w:p>
      <w:pPr>
        <w:pStyle w:val="Heading1"/>
        <w:keepNext/>
      </w:pPr>
      <w:r>
        <w:t>8. Metodología de trabajo</w:t>
      </w:r>
    </w:p>
    <w:p>
      <w:pPr>
        <w:spacing w:after="120" w:before="0" w:line="259" w:lineRule="auto"/>
      </w:pPr>
      <w:r>
        <w:rPr>
          <w:rFonts w:ascii="Aptos" w:hAnsi="Aptos"/>
          <w:b w:val="0"/>
          <w:i w:val="0"/>
          <w:color w:val="263238"/>
          <w:sz w:val="21"/>
        </w:rPr>
      </w:r>
      <w:r>
        <w:rPr>
          <w:rFonts w:ascii="Aptos" w:hAnsi="Aptos"/>
          <w:b w:val="0"/>
          <w:i w:val="0"/>
          <w:color w:val="263238"/>
          <w:sz w:val="21"/>
        </w:rPr>
        <w:t>La metodología parte del estudio previamente realizado y concentra esta nueva etapa en la ejecución. El trabajo se organizará en ciclos de priorización, diseño técnico, desarrollo, migración, integración, pruebas, implementación y evolución. No se repetirá el diagnóstico de las áreas; únicamente se efectuarán verificaciones puntuales cuando sean necesarias para ejecutar de forma segura una solución.</w:t>
      </w:r>
    </w:p>
    <w:tbl>
      <w:tblPr>
        <w:tblStyle w:val="TableGrid"/>
        <w:tblW w:type="auto" w:w="0"/>
        <w:jc w:val="center"/>
        <w:tblLayout w:type="fixed"/>
        <w:tblLook w:firstColumn="1" w:firstRow="1" w:lastColumn="0" w:lastRow="0" w:noHBand="0" w:noVBand="1" w:val="04A0"/>
      </w:tblPr>
      <w:tblGrid>
        <w:gridCol w:w="3118"/>
        <w:gridCol w:w="3118"/>
        <w:gridCol w:w="3118"/>
      </w:tblGrid>
      <w:tr>
        <w:trPr>
          <w:tblHeader w:val="true"/>
          <w:cantSplit/>
        </w:trPr>
        <w:tc>
          <w:tcPr>
            <w:tcW w:type="dxa" w:w="1701"/>
            <w:shd w:fill="17365D"/>
            <w:tcMar>
              <w:top w:w="110" w:type="dxa"/>
              <w:start w:w="120" w:type="dxa"/>
              <w:bottom w:w="110" w:type="dxa"/>
              <w:end w:w="120" w:type="dxa"/>
            </w:tcMar>
            <w:vAlign w:val="center"/>
          </w:tcPr>
          <w:p>
            <w:pPr>
              <w:jc w:val="center"/>
            </w:pPr>
            <w:r>
              <w:rPr>
                <w:rFonts w:ascii="Aptos" w:hAnsi="Aptos"/>
                <w:b/>
                <w:color w:val="FFFFFF"/>
                <w:sz w:val="18"/>
              </w:rPr>
              <w:t>Etapa</w:t>
            </w:r>
          </w:p>
        </w:tc>
        <w:tc>
          <w:tcPr>
            <w:tcW w:type="dxa" w:w="3969"/>
            <w:shd w:fill="17365D"/>
            <w:tcMar>
              <w:top w:w="110" w:type="dxa"/>
              <w:start w:w="120" w:type="dxa"/>
              <w:bottom w:w="110" w:type="dxa"/>
              <w:end w:w="120" w:type="dxa"/>
            </w:tcMar>
            <w:vAlign w:val="center"/>
          </w:tcPr>
          <w:p>
            <w:pPr>
              <w:jc w:val="center"/>
            </w:pPr>
            <w:r>
              <w:rPr>
                <w:rFonts w:ascii="Aptos" w:hAnsi="Aptos"/>
                <w:b/>
                <w:color w:val="FFFFFF"/>
                <w:sz w:val="18"/>
              </w:rPr>
              <w:t>Propósito</w:t>
            </w:r>
          </w:p>
        </w:tc>
        <w:tc>
          <w:tcPr>
            <w:tcW w:type="dxa" w:w="3402"/>
            <w:shd w:fill="17365D"/>
            <w:tcMar>
              <w:top w:w="110" w:type="dxa"/>
              <w:start w:w="120" w:type="dxa"/>
              <w:bottom w:w="110" w:type="dxa"/>
              <w:end w:w="120" w:type="dxa"/>
            </w:tcMar>
            <w:vAlign w:val="center"/>
          </w:tcPr>
          <w:p>
            <w:pPr>
              <w:jc w:val="center"/>
            </w:pPr>
            <w:r>
              <w:rPr>
                <w:rFonts w:ascii="Aptos" w:hAnsi="Aptos"/>
                <w:b/>
                <w:color w:val="FFFFFF"/>
                <w:sz w:val="18"/>
              </w:rPr>
              <w:t>Resultado esperado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1. Priorización de soluciones</w:t>
            </w:r>
          </w:p>
        </w:tc>
        <w:tc>
          <w:tcPr>
            <w:tcW w:type="dxa" w:w="39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Ordenar las necesidades y soluciones identificadas durante el estudio previo de acuerdo con impacto, urgencia y dependencia.</w:t>
            </w:r>
          </w:p>
        </w:tc>
        <w:tc>
          <w:tcPr>
            <w:tcW w:type="dxa" w:w="3402"/>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Iniciativas de modernización priorizadas para ejecución.</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2. Diseño técnico y planificación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Definir arquitectura, datos, integraciones, estrategia de migración y componentes de software necesarios.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Plan técnico y alcance de ejecución definido.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3. Desarrollo y modernización</w:t>
            </w:r>
          </w:p>
        </w:tc>
        <w:tc>
          <w:tcPr>
            <w:tcW w:type="dxa" w:w="39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Programar, actualizar, automatizar o construir las soluciones necesarias para modernizar el proceso priorizado.</w:t>
            </w:r>
          </w:p>
        </w:tc>
        <w:tc>
          <w:tcPr>
            <w:tcW w:type="dxa" w:w="3402"/>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Desarrollo o actualización funcional lista para integración y pruebas.</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4. Integración y migración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Integrar sistemas, migrar datos y preparar la transición desde las aplicaciones o procesos antiguos.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Solución integrada y datos preparados para puesta en operación.</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5. Pruebas e implementación</w:t>
            </w:r>
          </w:p>
        </w:tc>
        <w:tc>
          <w:tcPr>
            <w:tcW w:type="dxa" w:w="3969"/>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Realizar pruebas funcionales y técnicas, corregir hallazgos y poner la solución en operación.</w:t>
            </w:r>
          </w:p>
        </w:tc>
        <w:tc>
          <w:tcPr>
            <w:tcW w:type="dxa" w:w="3402"/>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Solución moderna implementada y estabilizada.</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6. Evolución y siguiente iniciativa</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Retirar progresivamente dependencias antiguas, realizar ajustes y continuar con la siguiente prioridad.</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Continuidad del programa de modernización tecnológica.</w:t>
            </w:r>
          </w:p>
        </w:tc>
      </w:tr>
    </w:tbl>
    <w:p>
      <w:pPr>
        <w:spacing w:after="80"/>
      </w:pPr>
    </w:p>
    <w:p>
      <w:pPr>
        <w:pStyle w:val="Heading1"/>
        <w:keepNext/>
      </w:pPr>
      <w:r>
        <w:t>9. Gestión de prioridades y gobierno del servicio</w:t>
      </w:r>
    </w:p>
    <w:p>
      <w:pPr>
        <w:spacing w:after="120" w:before="0" w:line="259" w:lineRule="auto"/>
      </w:pPr>
      <w:r>
        <w:rPr>
          <w:rFonts w:ascii="Aptos" w:hAnsi="Aptos"/>
          <w:b w:val="0"/>
          <w:i w:val="0"/>
          <w:color w:val="263238"/>
          <w:sz w:val="21"/>
        </w:rPr>
        <w:t>Para mantener el alcance de la OPS alineado con las necesidades institucionales, se propone administrar las actividades mediante una lista priorizada de requerimientos e iniciativas. Las prioridades se revisarán periódicamente con el responsable designado por SERINTSA IPS.</w:t>
      </w:r>
    </w:p>
    <w:p>
      <w:pPr>
        <w:pStyle w:val="ListBullet"/>
        <w:spacing w:after="60" w:line="252" w:lineRule="auto"/>
      </w:pPr>
      <w:r>
        <w:rPr>
          <w:rFonts w:ascii="Aptos" w:hAnsi="Aptos"/>
          <w:color w:val="263238"/>
          <w:sz w:val="20"/>
        </w:rPr>
        <w:t>Cada necesidad deberá contar con una descripción suficiente del problema o resultado esperado.</w:t>
      </w:r>
    </w:p>
    <w:p>
      <w:pPr>
        <w:pStyle w:val="ListBullet"/>
        <w:spacing w:after="60" w:line="252" w:lineRule="auto"/>
      </w:pPr>
      <w:r>
        <w:rPr>
          <w:rFonts w:ascii="Aptos" w:hAnsi="Aptos"/>
          <w:color w:val="263238"/>
          <w:sz w:val="20"/>
        </w:rPr>
        <w:t>Las iniciativas se priorizarán de acuerdo con criticidad, impacto, urgencia, esfuerzo y dependencias.</w:t>
      </w:r>
    </w:p>
    <w:p>
      <w:pPr>
        <w:pStyle w:val="ListBullet"/>
        <w:spacing w:after="60" w:line="252" w:lineRule="auto"/>
      </w:pPr>
      <w:r>
        <w:rPr>
          <w:rFonts w:ascii="Aptos" w:hAnsi="Aptos"/>
          <w:color w:val="263238"/>
          <w:sz w:val="20"/>
        </w:rPr>
        <w:t>Los cambios relevantes de alcance se documentarán antes de iniciar su ejecución.</w:t>
      </w:r>
    </w:p>
    <w:p>
      <w:pPr>
        <w:pStyle w:val="ListBullet"/>
        <w:spacing w:after="60" w:line="252" w:lineRule="auto"/>
      </w:pPr>
      <w:r>
        <w:rPr>
          <w:rFonts w:ascii="Aptos" w:hAnsi="Aptos"/>
          <w:color w:val="263238"/>
          <w:sz w:val="20"/>
        </w:rPr>
        <w:t>Los desarrollos de mayor complejidad podrán dividirse en entregas progresivas.</w:t>
      </w:r>
    </w:p>
    <w:p>
      <w:pPr>
        <w:pStyle w:val="ListBullet"/>
        <w:spacing w:after="60" w:line="252" w:lineRule="auto"/>
      </w:pPr>
      <w:r>
        <w:rPr>
          <w:rFonts w:ascii="Aptos" w:hAnsi="Aptos"/>
          <w:color w:val="263238"/>
          <w:sz w:val="20"/>
        </w:rPr>
        <w:t>La atención de incidentes críticos podrá modificar temporalmente el orden de prioridades.</w:t>
      </w:r>
    </w:p>
    <w:p>
      <w:pPr>
        <w:pStyle w:val="ListBullet"/>
        <w:spacing w:after="60" w:line="252" w:lineRule="auto"/>
      </w:pPr>
      <w:r>
        <w:rPr>
          <w:rFonts w:ascii="Aptos" w:hAnsi="Aptos"/>
          <w:color w:val="263238"/>
          <w:sz w:val="20"/>
        </w:rPr>
      </w:r>
      <w:r>
        <w:rPr>
          <w:rFonts w:ascii="Aptos" w:hAnsi="Aptos"/>
          <w:color w:val="263238"/>
          <w:sz w:val="20"/>
        </w:rPr>
        <w:t>La capacidad mensual será administrada principalmente entre desarrollo, modernización, actualización, migración, integración, soporte, implementación, documentación y seguimiento según las prioridades vigentes. Las validaciones técnicas complementarias se realizarán únicamente cuando sean necesarias para ejecutar estas actividades.</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Alcance abierto, pero controlado</w:t>
            </w:r>
          </w:p>
          <w:p>
            <w:pPr>
              <w:spacing w:after="0" w:line="252" w:lineRule="auto"/>
            </w:pPr>
            <w:r>
              <w:rPr>
                <w:rFonts w:ascii="Aptos" w:hAnsi="Aptos"/>
                <w:color w:val="263238"/>
                <w:sz w:val="20"/>
              </w:rPr>
              <w:t>El carácter flexible del servicio no significa alcance ilimitado. La OPS cubre la dedicación profesional mensual y las actividades priorizadas; los requerimientos se ejecutarán de forma secuencial y razonable según su complejidad, dependencias y disponibilidad.</w:t>
            </w:r>
          </w:p>
        </w:tc>
      </w:tr>
    </w:tbl>
    <w:p>
      <w:pPr>
        <w:spacing w:after="40"/>
      </w:pPr>
    </w:p>
    <w:p>
      <w:pPr>
        <w:pStyle w:val="Heading1"/>
        <w:keepNext/>
      </w:pPr>
      <w:r>
        <w:t>10. Entregables del servicio</w:t>
      </w:r>
    </w:p>
    <w:p>
      <w:pPr>
        <w:spacing w:after="120" w:before="0" w:line="259" w:lineRule="auto"/>
      </w:pPr>
      <w:r>
        <w:rPr>
          <w:rFonts w:ascii="Aptos" w:hAnsi="Aptos"/>
          <w:b w:val="0"/>
          <w:i w:val="0"/>
          <w:color w:val="263238"/>
          <w:sz w:val="21"/>
        </w:rPr>
      </w:r>
      <w:r>
        <w:rPr>
          <w:rFonts w:ascii="Aptos" w:hAnsi="Aptos"/>
          <w:b w:val="0"/>
          <w:i w:val="0"/>
          <w:color w:val="263238"/>
          <w:sz w:val="21"/>
        </w:rPr>
        <w:t>Los entregables dependerán de las iniciativas de modernización efectivamente priorizadas durante cada periodo. El servicio incluye los desarrollos necesarios para ejecutar dichas iniciativas, aunque no se establece una cantidad fija mensual de aplicaciones o módulos debido a que cada solución puede tener distinta complejidad. Los productos podrán incluir, según corresponda:</w:t>
      </w:r>
    </w:p>
    <w:p>
      <w:pPr>
        <w:pStyle w:val="ListBullet"/>
        <w:spacing w:after="60" w:line="252" w:lineRule="auto"/>
      </w:pPr>
      <w:r>
        <w:rPr>
          <w:rFonts w:ascii="Aptos" w:hAnsi="Aptos"/>
          <w:color w:val="263238"/>
          <w:sz w:val="20"/>
        </w:rPr>
      </w:r>
      <w:r>
        <w:rPr>
          <w:rFonts w:ascii="Aptos" w:hAnsi="Aptos"/>
          <w:color w:val="263238"/>
          <w:sz w:val="20"/>
        </w:rPr>
        <w:t>Soluciones implementadas a partir de las necesidades identificadas en el estudio previo.</w:t>
      </w:r>
    </w:p>
    <w:p>
      <w:pPr>
        <w:pStyle w:val="ListBullet"/>
        <w:spacing w:after="60" w:line="252" w:lineRule="auto"/>
      </w:pPr>
      <w:r>
        <w:rPr>
          <w:rFonts w:ascii="Aptos" w:hAnsi="Aptos"/>
          <w:color w:val="263238"/>
          <w:sz w:val="20"/>
        </w:rPr>
      </w:r>
      <w:r>
        <w:rPr>
          <w:rFonts w:ascii="Aptos" w:hAnsi="Aptos"/>
          <w:color w:val="263238"/>
          <w:sz w:val="20"/>
        </w:rPr>
        <w:t>Validaciones técnicas puntuales, diseños de implementación y definición de dependencias cuando sean necesarios para ejecutar una solución.</w:t>
      </w:r>
    </w:p>
    <w:p>
      <w:pPr>
        <w:pStyle w:val="ListBullet"/>
        <w:spacing w:after="60" w:line="252" w:lineRule="auto"/>
      </w:pPr>
      <w:r>
        <w:rPr>
          <w:rFonts w:ascii="Aptos" w:hAnsi="Aptos"/>
          <w:color w:val="263238"/>
          <w:sz w:val="20"/>
        </w:rPr>
      </w:r>
      <w:r>
        <w:rPr>
          <w:rFonts w:ascii="Aptos" w:hAnsi="Aptos"/>
          <w:color w:val="263238"/>
          <w:sz w:val="20"/>
        </w:rPr>
        <w:t>Aplicaciones, módulos, componentes, integraciones y automatizaciones desarrolladas para la modernización de los procesos.</w:t>
      </w:r>
    </w:p>
    <w:p>
      <w:pPr>
        <w:pStyle w:val="ListBullet"/>
        <w:spacing w:after="60" w:line="252" w:lineRule="auto"/>
      </w:pPr>
      <w:r>
        <w:rPr>
          <w:rFonts w:ascii="Aptos" w:hAnsi="Aptos"/>
          <w:color w:val="263238"/>
          <w:sz w:val="20"/>
        </w:rPr>
        <w:t>Diseños funcionales, técnicos o de arquitectura.</w:t>
      </w:r>
    </w:p>
    <w:p>
      <w:pPr>
        <w:pStyle w:val="ListBullet"/>
        <w:spacing w:after="60" w:line="252" w:lineRule="auto"/>
      </w:pPr>
      <w:r>
        <w:rPr>
          <w:rFonts w:ascii="Aptos" w:hAnsi="Aptos"/>
          <w:color w:val="263238"/>
          <w:sz w:val="20"/>
        </w:rPr>
      </w:r>
      <w:r>
        <w:rPr>
          <w:rFonts w:ascii="Aptos" w:hAnsi="Aptos"/>
          <w:color w:val="263238"/>
          <w:sz w:val="20"/>
        </w:rPr>
        <w:t>Actualizaciones, migraciones, integraciones, automatizaciones y desarrollos requeridos para reemplazar o transformar aplicaciones y procesos antiguos.</w:t>
      </w:r>
    </w:p>
    <w:p>
      <w:pPr>
        <w:pStyle w:val="ListBullet"/>
        <w:spacing w:after="60" w:line="252" w:lineRule="auto"/>
      </w:pPr>
      <w:r>
        <w:rPr>
          <w:rFonts w:ascii="Aptos" w:hAnsi="Aptos"/>
          <w:color w:val="263238"/>
          <w:sz w:val="20"/>
        </w:rPr>
      </w:r>
      <w:r>
        <w:rPr>
          <w:rFonts w:ascii="Aptos" w:hAnsi="Aptos"/>
          <w:color w:val="263238"/>
          <w:sz w:val="20"/>
        </w:rPr>
        <w:t>Migración, depuración o transformación de datos cuando forme parte de una iniciativa de modernización.</w:t>
      </w:r>
    </w:p>
    <w:p>
      <w:pPr>
        <w:pStyle w:val="ListBullet"/>
        <w:spacing w:after="60" w:line="252" w:lineRule="auto"/>
      </w:pPr>
      <w:r>
        <w:rPr>
          <w:rFonts w:ascii="Aptos" w:hAnsi="Aptos"/>
          <w:color w:val="263238"/>
          <w:sz w:val="20"/>
        </w:rPr>
      </w:r>
      <w:r>
        <w:rPr>
          <w:rFonts w:ascii="Aptos" w:hAnsi="Aptos"/>
          <w:color w:val="263238"/>
          <w:sz w:val="20"/>
        </w:rPr>
        <w:t>Aplicaciones web, APIs, servicios, scripts, consultas, reportes, utilidades y demás soluciones técnicas necesarias.</w:t>
      </w:r>
    </w:p>
    <w:p>
      <w:pPr>
        <w:pStyle w:val="ListBullet"/>
        <w:spacing w:after="60" w:line="252" w:lineRule="auto"/>
      </w:pPr>
      <w:r>
        <w:rPr>
          <w:rFonts w:ascii="Aptos" w:hAnsi="Aptos"/>
          <w:color w:val="263238"/>
          <w:sz w:val="20"/>
        </w:rPr>
        <w:t>Documentación técnica, funcional y manuales de uso.</w:t>
      </w:r>
    </w:p>
    <w:p>
      <w:pPr>
        <w:pStyle w:val="ListBullet"/>
        <w:spacing w:after="60" w:line="252" w:lineRule="auto"/>
      </w:pPr>
      <w:r>
        <w:rPr>
          <w:rFonts w:ascii="Aptos" w:hAnsi="Aptos"/>
          <w:color w:val="263238"/>
          <w:sz w:val="20"/>
        </w:rPr>
        <w:t>Registros de pruebas, implementación y estabilización.</w:t>
      </w:r>
    </w:p>
    <w:p>
      <w:pPr>
        <w:pStyle w:val="ListBullet"/>
        <w:spacing w:after="60" w:line="252" w:lineRule="auto"/>
      </w:pPr>
      <w:r>
        <w:rPr>
          <w:rFonts w:ascii="Aptos" w:hAnsi="Aptos"/>
          <w:color w:val="263238"/>
          <w:sz w:val="20"/>
        </w:rPr>
        <w:t>Reportes de mesa de ayuda y seguimiento de incidentes cuando sean requeridos.</w:t>
      </w:r>
    </w:p>
    <w:p>
      <w:pPr>
        <w:pStyle w:val="ListBullet"/>
        <w:spacing w:after="60" w:line="252" w:lineRule="auto"/>
      </w:pPr>
      <w:r>
        <w:rPr>
          <w:rFonts w:ascii="Aptos" w:hAnsi="Aptos"/>
          <w:color w:val="263238"/>
          <w:sz w:val="20"/>
        </w:rPr>
        <w:t>Informes de avance y recomendaciones para siguientes etapas.</w:t>
      </w:r>
    </w:p>
    <w:p>
      <w:pPr>
        <w:pStyle w:val="Heading1"/>
        <w:keepNext/>
      </w:pPr>
      <w:r>
        <w:t>11. Mesa de ayuda y soporte a equipos</w:t>
      </w:r>
    </w:p>
    <w:p>
      <w:pPr>
        <w:spacing w:after="120" w:before="0" w:line="259" w:lineRule="auto"/>
      </w:pPr>
      <w:r>
        <w:rPr>
          <w:rFonts w:ascii="Aptos" w:hAnsi="Aptos"/>
          <w:b w:val="0"/>
          <w:i w:val="0"/>
          <w:color w:val="263238"/>
          <w:sz w:val="21"/>
        </w:rPr>
        <w:t>La gestión de soporte tecnológico hará parte de la prestación integral. La mesa de ayuda web existente, desarrollada en PHP, servirá como mecanismo de registro y seguimiento para centralizar los requerimientos de los usuarios y conservar trazabilidad sobre su atención. Esta gestión comprenderá los requerimientos de la sede principal de SERINTSA IPS, Farmaserintsa y CABE, así como el soporte tecnológico asociado al software TNS utilizado por facturación y contabilidad.</w:t>
      </w:r>
    </w:p>
    <w:p>
      <w:pPr>
        <w:spacing w:after="120" w:before="0" w:line="259" w:lineRule="auto"/>
      </w:pPr>
      <w:r>
        <w:rPr>
          <w:rFonts w:ascii="Aptos" w:hAnsi="Aptos"/>
          <w:b w:val="0"/>
          <w:i w:val="0"/>
          <w:color w:val="263238"/>
          <w:sz w:val="21"/>
        </w:rPr>
        <w:t>La mesa de ayuda podrá actualizarse y modernizarse de acuerdo con las necesidades identificadas, sin asumir desde esta propuesta una lista cerrada de funcionalidades. Las mejoras se priorizarán con el mismo criterio aplicado a los demás procesos institucionales.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438"/>
            <w:shd w:fill="17365D"/>
            <w:tcMar>
              <w:top w:w="110" w:type="dxa"/>
              <w:start w:w="120" w:type="dxa"/>
              <w:bottom w:w="110" w:type="dxa"/>
              <w:end w:w="120" w:type="dxa"/>
            </w:tcMar>
            <w:vAlign w:val="center"/>
          </w:tcPr>
          <w:p>
            <w:pPr>
              <w:jc w:val="center"/>
            </w:pPr>
            <w:r>
              <w:rPr>
                <w:rFonts w:ascii="Aptos" w:hAnsi="Aptos"/>
                <w:b/>
                <w:color w:val="FFFFFF"/>
                <w:sz w:val="18"/>
              </w:rPr>
              <w:t>Ámbito</w:t>
            </w:r>
          </w:p>
        </w:tc>
        <w:tc>
          <w:tcPr>
            <w:tcW w:type="dxa" w:w="6633"/>
            <w:shd w:fill="17365D"/>
            <w:tcMar>
              <w:top w:w="110" w:type="dxa"/>
              <w:start w:w="120" w:type="dxa"/>
              <w:bottom w:w="110" w:type="dxa"/>
              <w:end w:w="120" w:type="dxa"/>
            </w:tcMar>
            <w:vAlign w:val="center"/>
          </w:tcPr>
          <w:p>
            <w:pPr>
              <w:jc w:val="center"/>
            </w:pPr>
            <w:r>
              <w:rPr>
                <w:rFonts w:ascii="Aptos" w:hAnsi="Aptos"/>
                <w:b/>
                <w:color w:val="FFFFFF"/>
                <w:sz w:val="18"/>
              </w:rPr>
              <w:t>Cobertura general</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Equipos de cómputo</w:t>
            </w:r>
          </w:p>
        </w:tc>
        <w:tc>
          <w:tcPr>
            <w:tcW w:type="dxa" w:w="6633"/>
            <w:tcMar>
              <w:top w:w="105" w:type="dxa"/>
              <w:start w:w="120" w:type="dxa"/>
              <w:bottom w:w="105" w:type="dxa"/>
              <w:end w:w="120" w:type="dxa"/>
            </w:tcMar>
            <w:vAlign w:val="top"/>
          </w:tcPr>
          <w:p>
            <w:pPr>
              <w:spacing w:after="0"/>
            </w:pPr>
            <w:r>
              <w:rPr>
                <w:rFonts w:ascii="Aptos" w:hAnsi="Aptos"/>
                <w:color w:val="263238"/>
                <w:sz w:val="18"/>
              </w:rPr>
              <w:t>Diagnóstico de incidentes, configuración, software de usuario y apoyo técnico dentro de las capacidades disponibles.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Impresión y periféricos</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Configuración, conectividad, controladores, diagnóstico y escalamiento de fallas físicas cuando sea necesario.</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Aplicaciones</w:t>
            </w:r>
          </w:p>
        </w:tc>
        <w:tc>
          <w:tcPr>
            <w:tcW w:type="dxa" w:w="6633"/>
            <w:tcMar>
              <w:top w:w="105" w:type="dxa"/>
              <w:start w:w="120" w:type="dxa"/>
              <w:bottom w:w="105" w:type="dxa"/>
              <w:end w:w="120" w:type="dxa"/>
            </w:tcMar>
            <w:vAlign w:val="top"/>
          </w:tcPr>
          <w:p>
            <w:pPr>
              <w:spacing w:after="0"/>
            </w:pPr>
            <w:r>
              <w:rPr>
                <w:rFonts w:ascii="Aptos" w:hAnsi="Aptos"/>
                <w:color w:val="263238"/>
                <w:sz w:val="18"/>
              </w:rPr>
              <w:t>Apoyo al usuario, configuración y análisis inicial de incidentes relacionados con herramientas institucionales.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Conectividad de usuario</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Verificación inicial de acceso, configuración y coordinación de escalamiento cuando la causa corresponda a infraestructura externa.</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Mesa de ayuda</w:t>
            </w:r>
          </w:p>
        </w:tc>
        <w:tc>
          <w:tcPr>
            <w:tcW w:type="dxa" w:w="6633"/>
            <w:tcMar>
              <w:top w:w="105" w:type="dxa"/>
              <w:start w:w="120" w:type="dxa"/>
              <w:bottom w:w="105" w:type="dxa"/>
              <w:end w:w="120" w:type="dxa"/>
            </w:tcMar>
            <w:vAlign w:val="top"/>
          </w:tcPr>
          <w:p>
            <w:pPr>
              <w:spacing w:after="0"/>
            </w:pPr>
            <w:r>
              <w:rPr>
                <w:rFonts w:ascii="Aptos" w:hAnsi="Aptos"/>
                <w:color w:val="263238"/>
                <w:sz w:val="18"/>
              </w:rPr>
              <w:t>Registro, clasificación, seguimiento, cierre, documentación y análisis de tendencias de los requerimientos.</w:t>
            </w:r>
          </w:p>
        </w:tc>
      </w:tr>
      <w:tr>
        <w:tc>
          <w:tcPr>
            <w:tcW w:type="dxa" w:w="4677"/>
            <w:shd w:fill="F8FAFC"/>
            <w:vAlign w:val="top"/>
            <w:tcMar>
              <w:top w:w="105" w:type="dxa"/>
              <w:start w:w="120" w:type="dxa"/>
              <w:bottom w:w="105" w:type="dxa"/>
              <w:end w:w="120" w:type="dxa"/>
            </w:tcMar>
          </w:tcPr>
          <w:p>
            <w:pPr>
              <w:spacing w:after="0"/>
            </w:pPr>
            <w:r>
              <w:rPr>
                <w:rFonts w:ascii="Aptos" w:hAnsi="Aptos"/>
                <w:color w:val="263238"/>
                <w:sz w:val="18"/>
              </w:rPr>
              <w:t>TNS - facturación y contabilidad</w:t>
            </w:r>
          </w:p>
        </w:tc>
        <w:tc>
          <w:tcPr>
            <w:tcW w:type="dxa" w:w="4677"/>
            <w:shd w:fill="F8FAFC"/>
            <w:vAlign w:val="top"/>
            <w:tcMar>
              <w:top w:w="105" w:type="dxa"/>
              <w:start w:w="120" w:type="dxa"/>
              <w:bottom w:w="105" w:type="dxa"/>
              <w:end w:w="120" w:type="dxa"/>
            </w:tcMar>
          </w:tcPr>
          <w:p>
            <w:pPr>
              <w:spacing w:after="0"/>
            </w:pPr>
            <w:r>
              <w:rPr>
                <w:rFonts w:ascii="Aptos" w:hAnsi="Aptos"/>
                <w:color w:val="263238"/>
                <w:sz w:val="18"/>
              </w:rPr>
              <w:t>Atención a usuarios, diagnóstico inicial, configuración dentro de los permisos disponibles, apoyo operativo y escalamiento documentado al proveedor cuando corresponda.</w:t>
            </w:r>
          </w:p>
        </w:tc>
      </w:tr>
      <w:tr>
        <w:tc>
          <w:tcPr>
            <w:tcW w:type="dxa" w:w="4677"/>
            <w:vAlign w:val="top"/>
            <w:tcMar>
              <w:top w:w="105" w:type="dxa"/>
              <w:start w:w="120" w:type="dxa"/>
              <w:bottom w:w="105" w:type="dxa"/>
              <w:end w:w="120" w:type="dxa"/>
            </w:tcMar>
          </w:tcPr>
          <w:p>
            <w:pPr>
              <w:spacing w:after="0"/>
            </w:pPr>
            <w:r>
              <w:rPr>
                <w:rFonts w:ascii="Aptos" w:hAnsi="Aptos"/>
                <w:color w:val="263238"/>
                <w:sz w:val="18"/>
              </w:rPr>
              <w:t>Cobertura de sedes</w:t>
            </w:r>
          </w:p>
        </w:tc>
        <w:tc>
          <w:tcPr>
            <w:tcW w:type="dxa" w:w="4677"/>
            <w:vAlign w:val="top"/>
            <w:tcMar>
              <w:top w:w="105" w:type="dxa"/>
              <w:start w:w="120" w:type="dxa"/>
              <w:bottom w:w="105" w:type="dxa"/>
              <w:end w:w="120" w:type="dxa"/>
            </w:tcMar>
          </w:tcPr>
          <w:p>
            <w:pPr>
              <w:spacing w:after="0"/>
            </w:pPr>
            <w:r>
              <w:rPr>
                <w:rFonts w:ascii="Aptos" w:hAnsi="Aptos"/>
                <w:color w:val="263238"/>
                <w:sz w:val="18"/>
              </w:rPr>
              <w:t>Atención de requerimientos de la sede principal, Farmaserintsa y CABE, mediante soporte remoto o presencial según la naturaleza y criticidad de cada caso.</w:t>
            </w:r>
          </w:p>
        </w:tc>
      </w:tr>
    </w:tbl>
    <w:p>
      <w:pPr>
        <w:spacing w:after="80"/>
      </w:pPr>
    </w:p>
    <w:p>
      <w:pPr>
        <w:spacing w:after="120" w:line="259" w:lineRule="auto"/>
      </w:pPr>
      <w:r>
        <w:rPr>
          <w:rFonts w:ascii="Aptos" w:hAnsi="Aptos"/>
          <w:color w:val="263238"/>
          <w:sz w:val="21"/>
        </w:rPr>
        <w:t>La cobertura multisede no implica permanencia física en cada ubicación. Los requerimientos se gestionarán desde la mesa de ayuda y se atenderán de forma remota o presencial según el tipo de incidente, la prioridad operativa y la necesidad real de desplazamiento.</w:t>
      </w:r>
    </w:p>
    <w:p>
      <w:pPr>
        <w:spacing w:after="120" w:before="0" w:line="259" w:lineRule="auto"/>
      </w:pPr>
      <w:r>
        <w:rPr>
          <w:rFonts w:ascii="Aptos" w:hAnsi="Aptos"/>
          <w:b w:val="0"/>
          <w:i w:val="0"/>
          <w:color w:val="263238"/>
          <w:sz w:val="21"/>
        </w:rPr>
        <w:t>Los repuestos, consumibles, licencias, mantenimientos especializados, garantías, reparaciones electrónicas, servicios de proveedores externos y adquisición de infraestructura no se consideran incluidos en el valor mensual, salvo acuerdo expreso entre las partes.</w:t>
      </w:r>
    </w:p>
    <w:p>
      <w:pPr>
        <w:pStyle w:val="Heading1"/>
        <w:keepNext/>
      </w:pPr>
      <w:r>
        <w:t>12. Seguridad, continuidad y manejo de información</w:t>
      </w:r>
    </w:p>
    <w:p>
      <w:pPr>
        <w:spacing w:after="120" w:before="0" w:line="259" w:lineRule="auto"/>
      </w:pPr>
      <w:r>
        <w:rPr>
          <w:rFonts w:ascii="Aptos" w:hAnsi="Aptos"/>
          <w:b w:val="0"/>
          <w:i w:val="0"/>
          <w:color w:val="263238"/>
          <w:sz w:val="21"/>
        </w:rPr>
        <w:t>Debido a la naturaleza de la información administrada por una IPS, cualquier iniciativa tecnológica deberá considerar desde su diseño los controles de acceso, la confidencialidad, la integridad, la disponibilidad y la trazabilidad de la información.</w:t>
      </w:r>
    </w:p>
    <w:p>
      <w:pPr>
        <w:pStyle w:val="ListBullet"/>
        <w:spacing w:after="60" w:line="252" w:lineRule="auto"/>
      </w:pPr>
      <w:r>
        <w:rPr>
          <w:rFonts w:ascii="Aptos" w:hAnsi="Aptos"/>
          <w:color w:val="263238"/>
          <w:sz w:val="20"/>
        </w:rPr>
        <w:t>Aplicación de roles y permisos según las necesidades de cada solución.</w:t>
      </w:r>
    </w:p>
    <w:p>
      <w:pPr>
        <w:pStyle w:val="ListBullet"/>
        <w:spacing w:after="60" w:line="252" w:lineRule="auto"/>
      </w:pPr>
      <w:r>
        <w:rPr>
          <w:rFonts w:ascii="Aptos" w:hAnsi="Aptos"/>
          <w:color w:val="263238"/>
          <w:sz w:val="20"/>
        </w:rPr>
        <w:t>Registro de actividades o trazabilidad cuando la criticidad del proceso lo requiera.</w:t>
      </w:r>
    </w:p>
    <w:p>
      <w:pPr>
        <w:pStyle w:val="ListBullet"/>
        <w:spacing w:after="60" w:line="252" w:lineRule="auto"/>
      </w:pPr>
      <w:r>
        <w:rPr>
          <w:rFonts w:ascii="Aptos" w:hAnsi="Aptos"/>
          <w:color w:val="263238"/>
          <w:sz w:val="20"/>
        </w:rPr>
        <w:t>Respaldo de información antes de migraciones o cambios relevantes.</w:t>
      </w:r>
    </w:p>
    <w:p>
      <w:pPr>
        <w:pStyle w:val="ListBullet"/>
        <w:spacing w:after="60" w:line="252" w:lineRule="auto"/>
      </w:pPr>
      <w:r>
        <w:rPr>
          <w:rFonts w:ascii="Aptos" w:hAnsi="Aptos"/>
          <w:color w:val="263238"/>
          <w:sz w:val="20"/>
        </w:rPr>
        <w:t>Separación razonable entre ambientes de desarrollo, pruebas y producción cuando aplique.</w:t>
      </w:r>
    </w:p>
    <w:p>
      <w:pPr>
        <w:pStyle w:val="ListBullet"/>
        <w:spacing w:after="60" w:line="252" w:lineRule="auto"/>
      </w:pPr>
      <w:r>
        <w:rPr>
          <w:rFonts w:ascii="Aptos" w:hAnsi="Aptos"/>
          <w:color w:val="263238"/>
          <w:sz w:val="20"/>
        </w:rPr>
        <w:t>Uso de mecanismos de autenticación y protección de credenciales.</w:t>
      </w:r>
    </w:p>
    <w:p>
      <w:pPr>
        <w:pStyle w:val="ListBullet"/>
        <w:spacing w:after="60" w:line="252" w:lineRule="auto"/>
      </w:pPr>
      <w:r>
        <w:rPr>
          <w:rFonts w:ascii="Aptos" w:hAnsi="Aptos"/>
          <w:color w:val="263238"/>
          <w:sz w:val="20"/>
        </w:rPr>
        <w:t>Documentación de cambios sobre sistemas críticos.</w:t>
      </w:r>
    </w:p>
    <w:p>
      <w:pPr>
        <w:pStyle w:val="ListBullet"/>
        <w:spacing w:after="60" w:line="252" w:lineRule="auto"/>
      </w:pPr>
      <w:r>
        <w:rPr>
          <w:rFonts w:ascii="Aptos" w:hAnsi="Aptos"/>
          <w:color w:val="263238"/>
          <w:sz w:val="20"/>
        </w:rPr>
        <w:t>Coordinación con las políticas institucionales de seguridad y con la normatividad aplicable al tratamiento de información y datos de salud.</w:t>
      </w:r>
    </w:p>
    <w:p>
      <w:pPr>
        <w:spacing w:after="120" w:before="0" w:line="259" w:lineRule="auto"/>
      </w:pPr>
      <w:r>
        <w:rPr>
          <w:rFonts w:ascii="Aptos" w:hAnsi="Aptos"/>
          <w:b w:val="0"/>
          <w:i w:val="0"/>
          <w:color w:val="263238"/>
          <w:sz w:val="21"/>
        </w:rPr>
        <w:t>Las decisiones de infraestructura, alojamiento, copias de seguridad, disponibilidad y contingencia se evaluarán de acuerdo con la arquitectura real de SERINTSA IPS y los recursos que la institución decida disponer.</w:t>
      </w:r>
    </w:p>
    <w:p>
      <w:pPr>
        <w:pStyle w:val="Heading1"/>
        <w:keepNext/>
      </w:pPr>
      <w:r>
        <w:t>13. Hoja de ruta inicial de referencia</w:t>
      </w:r>
    </w:p>
    <w:p>
      <w:pPr>
        <w:spacing w:after="120" w:before="0" w:line="259" w:lineRule="auto"/>
      </w:pPr>
      <w:r>
        <w:rPr>
          <w:rFonts w:ascii="Aptos" w:hAnsi="Aptos"/>
          <w:b w:val="0"/>
          <w:i w:val="0"/>
          <w:color w:val="263238"/>
          <w:sz w:val="21"/>
        </w:rPr>
      </w:r>
      <w:r>
        <w:rPr>
          <w:rFonts w:ascii="Aptos" w:hAnsi="Aptos"/>
          <w:b w:val="0"/>
          <w:i w:val="0"/>
          <w:color w:val="263238"/>
          <w:sz w:val="21"/>
        </w:rPr>
        <w:t>La hoja de ruta de esta nueva etapa partirá directamente del estudio, hallazgos y necesidades obtenidos durante la contratación previa. Su finalidad será ordenar la ejecución de las soluciones de modernización, no repetir el levantamiento realizado. El orden podrá ajustarse de acuerdo con las prioridades operativas, dependencias y complejidad de cada iniciativa.</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268"/>
            <w:shd w:fill="17365D"/>
            <w:tcMar>
              <w:top w:w="110" w:type="dxa"/>
              <w:start w:w="120" w:type="dxa"/>
              <w:bottom w:w="110" w:type="dxa"/>
              <w:end w:w="120" w:type="dxa"/>
            </w:tcMar>
            <w:vAlign w:val="center"/>
          </w:tcPr>
          <w:p>
            <w:pPr>
              <w:jc w:val="center"/>
            </w:pPr>
            <w:r>
              <w:rPr>
                <w:rFonts w:ascii="Aptos" w:hAnsi="Aptos"/>
                <w:b/>
                <w:color w:val="FFFFFF"/>
                <w:sz w:val="18"/>
              </w:rPr>
              <w:t>Periodo de referencia</w:t>
            </w:r>
          </w:p>
        </w:tc>
        <w:tc>
          <w:tcPr>
            <w:tcW w:type="dxa" w:w="6803"/>
            <w:shd w:fill="17365D"/>
            <w:tcMar>
              <w:top w:w="110" w:type="dxa"/>
              <w:start w:w="120" w:type="dxa"/>
              <w:bottom w:w="110" w:type="dxa"/>
              <w:end w:w="120" w:type="dxa"/>
            </w:tcMar>
            <w:vAlign w:val="center"/>
          </w:tcPr>
          <w:p>
            <w:pPr>
              <w:jc w:val="center"/>
            </w:pPr>
            <w:r>
              <w:rPr>
                <w:rFonts w:ascii="Aptos" w:hAnsi="Aptos"/>
                <w:b/>
                <w:color w:val="FFFFFF"/>
                <w:sz w:val="18"/>
              </w:rPr>
              <w:t>Enfoque</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Primer ciclo de ejecución</w:t>
            </w:r>
          </w:p>
        </w:tc>
        <w:tc>
          <w:tcPr>
            <w:tcW w:type="dxa" w:w="6803"/>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Priorización de las necesidades ya identificadas y selección de los primeros procesos o aplicaciones antiguas a intervenir.</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Diseño y desarrollo</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Definición técnica, programación y desarrollo de las soluciones necesarias para los frentes priorizados.</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Migración e implementación</w:t>
            </w:r>
          </w:p>
        </w:tc>
        <w:tc>
          <w:tcPr>
            <w:tcW w:type="dxa" w:w="6803"/>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Integración, migración de información, pruebas, puesta en operación, documentación y estabilización de las soluciones.</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t>Evolución continua</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t>Continuación de la actualización, desarrollo, migración, integración y modernización de nuevos procesos, aplicaciones y áreas según las prioridades institucionales.</w:t>
            </w:r>
          </w:p>
        </w:tc>
      </w:tr>
    </w:tbl>
    <w:p>
      <w:pPr>
        <w:spacing w:after="80"/>
      </w:pP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Importante</w:t>
            </w:r>
          </w:p>
          <w:p>
            <w:pPr>
              <w:spacing w:after="0" w:line="252" w:lineRule="auto"/>
            </w:pPr>
            <w:r>
              <w:rPr>
                <w:rFonts w:ascii="Aptos" w:hAnsi="Aptos"/>
                <w:color w:val="263238"/>
                <w:sz w:val="20"/>
              </w:rPr>
            </w:r>
            <w:r>
              <w:rPr>
                <w:rFonts w:ascii="Aptos" w:hAnsi="Aptos"/>
                <w:color w:val="263238"/>
                <w:sz w:val="20"/>
              </w:rPr>
              <w:t>La hoja de ruta parte del estudio ya realizado. Esta nueva OPS se orienta a ejecutar las soluciones priorizadas y comprende los desarrollos de software que sean necesarios para actualizar, migrar, integrar, sustituir o modernizar procesos y programas antiguos.</w:t>
            </w:r>
          </w:p>
        </w:tc>
      </w:tr>
    </w:tbl>
    <w:p>
      <w:pPr>
        <w:spacing w:after="40"/>
      </w:pPr>
    </w:p>
    <w:p>
      <w:pPr>
        <w:pStyle w:val="Heading1"/>
        <w:keepNext/>
      </w:pPr>
      <w:r>
        <w:t>14. Beneficios esperados para SERINTSA IPS</w:t>
      </w:r>
    </w:p>
    <w:p>
      <w:pPr>
        <w:pStyle w:val="ListBullet"/>
        <w:spacing w:after="60" w:line="252" w:lineRule="auto"/>
      </w:pPr>
      <w:r>
        <w:rPr>
          <w:rFonts w:ascii="Aptos" w:hAnsi="Aptos"/>
          <w:color w:val="263238"/>
          <w:sz w:val="20"/>
        </w:rPr>
        <w:t>Aprovechar el conocimiento técnico y funcional ya construido para acelerar la ejecución de iniciativas de modernización y orientar mejor las inversiones tecnológicas.</w:t>
      </w:r>
    </w:p>
    <w:p>
      <w:pPr>
        <w:pStyle w:val="ListBullet"/>
        <w:spacing w:after="60" w:line="252" w:lineRule="auto"/>
      </w:pPr>
      <w:r>
        <w:rPr>
          <w:rFonts w:ascii="Aptos" w:hAnsi="Aptos"/>
          <w:color w:val="263238"/>
          <w:sz w:val="20"/>
        </w:rPr>
        <w:t>Reducir progresivamente reprocesos, tareas manuales y dependencias de tecnologías difíciles de mantener.</w:t>
      </w:r>
    </w:p>
    <w:p>
      <w:pPr>
        <w:pStyle w:val="ListBullet"/>
        <w:spacing w:after="60" w:line="252" w:lineRule="auto"/>
      </w:pPr>
      <w:r>
        <w:rPr>
          <w:rFonts w:ascii="Aptos" w:hAnsi="Aptos"/>
          <w:color w:val="263238"/>
          <w:sz w:val="20"/>
        </w:rPr>
        <w:t>Priorizar iniciativas según valor para la operación y la atención al usuario.</w:t>
      </w:r>
    </w:p>
    <w:p>
      <w:pPr>
        <w:pStyle w:val="ListBullet"/>
        <w:spacing w:after="60" w:line="252" w:lineRule="auto"/>
      </w:pPr>
      <w:r>
        <w:rPr>
          <w:rFonts w:ascii="Aptos" w:hAnsi="Aptos"/>
          <w:color w:val="263238"/>
          <w:sz w:val="20"/>
        </w:rPr>
        <w:t>Mejorar la integración entre herramientas modernas y la disponibilidad de información entre procesos.</w:t>
      </w:r>
    </w:p>
    <w:p>
      <w:pPr>
        <w:pStyle w:val="ListBullet"/>
        <w:spacing w:after="60" w:line="252" w:lineRule="auto"/>
      </w:pPr>
      <w:r>
        <w:rPr>
          <w:rFonts w:ascii="Aptos" w:hAnsi="Aptos"/>
          <w:color w:val="263238"/>
          <w:sz w:val="20"/>
        </w:rPr>
        <w:t>Construir una arquitectura tecnológica más sostenible y preparada para servicios digitales.</w:t>
      </w:r>
    </w:p>
    <w:p>
      <w:pPr>
        <w:pStyle w:val="ListBullet"/>
        <w:spacing w:after="60" w:line="252" w:lineRule="auto"/>
      </w:pPr>
      <w:r>
        <w:rPr>
          <w:rFonts w:ascii="Aptos" w:hAnsi="Aptos"/>
          <w:color w:val="263238"/>
          <w:sz w:val="20"/>
        </w:rPr>
        <w:t>Fortalecer la trazabilidad del soporte a usuarios y equipos.</w:t>
      </w:r>
    </w:p>
    <w:p>
      <w:pPr>
        <w:pStyle w:val="ListBullet"/>
        <w:spacing w:after="60" w:line="252" w:lineRule="auto"/>
      </w:pPr>
      <w:r>
        <w:rPr>
          <w:rFonts w:ascii="Aptos" w:hAnsi="Aptos"/>
          <w:color w:val="263238"/>
          <w:sz w:val="20"/>
        </w:rPr>
        <w:t>Ejecutar la migración desde aplicaciones y tecnologías antiguas de forma progresiva, controlada y con continuidad operativa.</w:t>
      </w:r>
    </w:p>
    <w:p>
      <w:pPr>
        <w:pStyle w:val="ListBullet"/>
        <w:spacing w:after="60" w:line="252" w:lineRule="auto"/>
      </w:pPr>
      <w:r>
        <w:rPr>
          <w:rFonts w:ascii="Aptos" w:hAnsi="Aptos"/>
          <w:color w:val="263238"/>
          <w:sz w:val="20"/>
        </w:rPr>
        <w:t>Mantener documentación y conocimiento técnico sobre los cambios implementados.</w:t>
      </w:r>
    </w:p>
    <w:p>
      <w:pPr>
        <w:pStyle w:val="ListBullet"/>
        <w:spacing w:after="60" w:line="252" w:lineRule="auto"/>
      </w:pPr>
      <w:r>
        <w:rPr>
          <w:rFonts w:ascii="Aptos" w:hAnsi="Aptos"/>
          <w:color w:val="263238"/>
          <w:sz w:val="20"/>
        </w:rPr>
        <w:t>Crear una capacidad continua de mejora tecnológica sin depender de proyectos aislados.</w:t>
      </w:r>
    </w:p>
    <w:p>
      <w:pPr>
        <w:pStyle w:val="Heading1"/>
        <w:keepNext/>
      </w:pPr>
      <w:r>
        <w:t>15. Propuesta económica y modalidad contractual</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Concepto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Condición propuesta</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Modalidad</w:t>
            </w:r>
          </w:p>
        </w:tc>
        <w:tc>
          <w:tcPr>
            <w:tcW w:type="dxa" w:w="6690"/>
            <w:tcMar>
              <w:top w:w="105" w:type="dxa"/>
              <w:start w:w="120" w:type="dxa"/>
              <w:bottom w:w="105" w:type="dxa"/>
              <w:end w:w="120" w:type="dxa"/>
            </w:tcMar>
            <w:vAlign w:val="top"/>
          </w:tcPr>
          <w:p>
            <w:pPr>
              <w:spacing w:after="0"/>
            </w:pPr>
            <w:r>
              <w:rPr>
                <w:rFonts w:ascii="Aptos" w:hAnsi="Aptos"/>
                <w:color w:val="263238"/>
                <w:sz w:val="18"/>
              </w:rPr>
              <w:t>Prestación de Servicios Profesionales — OPS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Profesional</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Einer Daniel Pallares Amaya — Ingeniero de Sistemas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Valor mensual</w:t>
            </w:r>
          </w:p>
        </w:tc>
        <w:tc>
          <w:tcPr>
            <w:tcW w:type="dxa" w:w="6690"/>
            <w:tcMar>
              <w:top w:w="105" w:type="dxa"/>
              <w:start w:w="120" w:type="dxa"/>
              <w:bottom w:w="105" w:type="dxa"/>
              <w:end w:w="120" w:type="dxa"/>
            </w:tcMar>
            <w:vAlign w:val="top"/>
          </w:tcPr>
          <w:p>
            <w:pPr>
              <w:spacing w:after="0"/>
            </w:pPr>
            <w:r>
              <w:rPr>
                <w:rFonts w:ascii="Aptos" w:hAnsi="Aptos"/>
                <w:color w:val="263238"/>
                <w:sz w:val="18"/>
              </w:rPr>
              <w:t>$7.000.000 COP (SIETE MILLONES DE PESOS COLOMBIANOS)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Periodicidad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Mensual</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Objeto económico</w:t>
            </w:r>
          </w:p>
        </w:tc>
        <w:tc>
          <w:tcPr>
            <w:tcW w:type="dxa" w:w="6690"/>
            <w:tcMar>
              <w:top w:w="105" w:type="dxa"/>
              <w:start w:w="120" w:type="dxa"/>
              <w:bottom w:w="105" w:type="dxa"/>
              <w:end w:w="120" w:type="dxa"/>
            </w:tcMar>
            <w:vAlign w:val="top"/>
          </w:tcPr>
          <w:p>
            <w:pPr>
              <w:spacing w:after="0"/>
            </w:pPr>
            <w:r>
              <w:rPr>
                <w:rFonts w:ascii="Aptos" w:hAnsi="Aptos"/>
                <w:color w:val="263238"/>
                <w:sz w:val="18"/>
              </w:rPr>
            </w:r>
            <w:r>
              <w:rPr>
                <w:rFonts w:ascii="Aptos" w:hAnsi="Aptos"/>
                <w:color w:val="263238"/>
                <w:sz w:val="18"/>
              </w:rPr>
            </w:r>
            <w:r>
              <w:rPr>
                <w:rFonts w:ascii="Aptos" w:hAnsi="Aptos"/>
                <w:color w:val="263238"/>
                <w:sz w:val="18"/>
              </w:rPr>
              <w:t>Prestación integral de servicios profesionales de Ingeniería de Sistemas para ejecutar actualización, desarrollo de software, migración, integración y modernización tecnológica, junto con soporte a equipos, usuarios, software institucional y sedes dentro de las prioridades acordadas.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Forma de pago</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Contra cuenta de cobro o documento equivalente y cumplimiento de los requisitos administrativos definidos por SERINTSA IPS.</w:t>
            </w:r>
          </w:p>
        </w:tc>
      </w:tr>
      <w:tr>
        <w:tc>
          <w:tcPr>
            <w:tcW w:type="dxa" w:w="4677"/>
            <w:shd w:fill="F8FAFC"/>
            <w:tcMar>
              <w:top w:w="105" w:type="dxa"/>
              <w:start w:w="120" w:type="dxa"/>
              <w:bottom w:w="105" w:type="dxa"/>
              <w:end w:w="120" w:type="dxa"/>
            </w:tcMar>
          </w:tcPr>
          <w:p>
            <w:r>
              <w:rPr>
                <w:rFonts w:ascii="Aptos" w:hAnsi="Aptos"/>
                <w:color w:val="263238"/>
                <w:sz w:val="18"/>
              </w:rPr>
              <w:t>Jornada y disponibilidad</w:t>
            </w:r>
          </w:p>
        </w:tc>
        <w:tc>
          <w:tcPr>
            <w:tcW w:type="dxa" w:w="4677"/>
            <w:shd w:fill="F8FAFC"/>
            <w:tcMar>
              <w:top w:w="105" w:type="dxa"/>
              <w:start w:w="120" w:type="dxa"/>
              <w:bottom w:w="105" w:type="dxa"/>
              <w:end w:w="120" w:type="dxa"/>
            </w:tcMar>
          </w:tcPr>
          <w:p>
            <w:r>
              <w:rPr>
                <w:rFonts w:ascii="Aptos" w:hAnsi="Aptos"/>
                <w:color w:val="263238"/>
                <w:sz w:val="18"/>
              </w:rPr>
              <w:t>Sin horario fijo ni obligación de permanencia continua en las instalaciones de SERINTSA IPS. El servicio se prestará con autonomía técnica y organizativa, manteniendo disponibilidad para atender o iniciar de manera inmediata la gestión de requerimientos e incidentes que se presenten, de forma remota o presencial según su naturaleza y criticidad.</w:t>
            </w:r>
          </w:p>
        </w:tc>
      </w:tr>
    </w:tbl>
    <w:p>
      <w:pPr>
        <w:spacing w:after="80"/>
      </w:pPr>
    </w:p>
    <w:p>
      <w:pPr>
        <w:spacing w:after="120" w:before="0" w:line="259" w:lineRule="auto"/>
      </w:pPr>
      <w:r>
        <w:rPr>
          <w:rFonts w:ascii="Aptos" w:hAnsi="Aptos"/>
          <w:b w:val="0"/>
          <w:i w:val="0"/>
          <w:color w:val="263238"/>
          <w:sz w:val="21"/>
        </w:rPr>
      </w:r>
      <w:r>
        <w:rPr>
          <w:rFonts w:ascii="Aptos" w:hAnsi="Aptos"/>
          <w:b w:val="0"/>
          <w:i w:val="0"/>
          <w:color w:val="263238"/>
          <w:sz w:val="21"/>
        </w:rPr>
        <w:t>El valor mensual remunera la prestación profesional integral e incluye los desarrollos de software que deban realizarse para cumplir con las iniciativas de actualización, migración, integración y modernización priorizadas por SERINTSA IPS. No se cobrará un valor independiente por cada aplicación, módulo, componente o desarrollo realizado dentro del alcance de la OPS. La ejecución se organizará conforme a la capacidad mensual, la complejidad técnica, las dependencias y el orden de prioridades acordado entre las partes.</w:t>
      </w:r>
    </w:p>
    <w:p>
      <w:pPr>
        <w:spacing w:after="120" w:before="0" w:line="259" w:lineRule="auto"/>
      </w:pPr>
      <w:r>
        <w:rPr>
          <w:rFonts w:ascii="Aptos" w:hAnsi="Aptos"/>
          <w:b w:val="0"/>
          <w:i w:val="0"/>
          <w:color w:val="263238"/>
          <w:sz w:val="21"/>
        </w:rPr>
        <w:t>Las retenciones, aportes y demás obligaciones asociadas a la modalidad contractual se manejarán conforme a las disposiciones aplicables y a los términos que sean formalizados entre las partes.</w:t>
      </w:r>
    </w:p>
    <w:p>
      <w:pPr>
        <w:pStyle w:val="Heading2"/>
      </w:pPr>
      <w:r>
        <w:rPr>
          <w:rFonts w:ascii="Aptos" w:hAnsi="Aptos"/>
          <w:b/>
          <w:color w:val="2F75B5"/>
          <w:sz w:val="24"/>
        </w:rPr>
        <w:t>15.1 Modalidad de prestación y disponibilidad</w:t>
      </w:r>
    </w:p>
    <w:p>
      <w:r>
        <w:rPr>
          <w:rFonts w:ascii="Aptos" w:hAnsi="Aptos"/>
          <w:color w:val="263238"/>
          <w:sz w:val="21"/>
        </w:rPr>
        <w:t>Por tratarse de una prestación de servicios profesionales bajo modalidad OPS, no se establece un horario fijo de entrada o salida ni una obligación de permanencia continua dentro de las instalaciones de SERINTSA IPS. El servicio se desarrollará con autonomía técnica y organizativa, orientado al cumplimiento de las actividades, prioridades y resultados acordados con la institución.</w:t>
      </w:r>
    </w:p>
    <w:p>
      <w:r>
        <w:rPr>
          <w:rFonts w:ascii="Aptos" w:hAnsi="Aptos"/>
          <w:b w:val="0"/>
          <w:color w:val="263238"/>
          <w:sz w:val="21"/>
        </w:rPr>
        <w:t>Sin perjuicio de lo anterior, se mantendrá disponibilidad para atender los requerimientos tecnológicos que se presenten durante la operación institucional, incluyendo los originados en la sede principal, Farmaserintsa y CABE. Cuando surja una necesidad de soporte, incidente o requerimiento que requiera intervención, se procurará iniciar su gestión de manera inmediata, determinando si puede resolverse remotamente o si requiere presencia en la sede correspondiente, de acuerdo con la naturaleza, criticidad y condiciones del caso.</w:t>
      </w:r>
    </w:p>
    <w:p>
      <w:r>
        <w:rPr>
          <w:rFonts w:ascii="Aptos" w:hAnsi="Aptos"/>
          <w:color w:val="263238"/>
          <w:sz w:val="21"/>
        </w:rPr>
        <w:t>La disponibilidad descrita corresponde a capacidad de respuesta y coordinación del servicio, y no deberá interpretarse como sujeción a jornada laboral, control de horario, exclusividad, permanencia física obligatoria o disponibilidad ininterrumpida las veinticuatro (24) horas, salvo que las partes acuerden expresamente una condición adicional para situaciones especiales.</w:t>
      </w:r>
    </w:p>
    <w:p>
      <w:pPr>
        <w:pStyle w:val="Heading1"/>
        <w:keepNext/>
      </w:pPr>
      <w:r>
        <w:t>16. Supuestos, límites y condiciones de alcance</w:t>
      </w:r>
    </w:p>
    <w:p>
      <w:pPr>
        <w:pStyle w:val="ListBullet"/>
        <w:spacing w:after="60" w:line="252" w:lineRule="auto"/>
      </w:pPr>
      <w:r>
        <w:rPr>
          <w:rFonts w:ascii="Aptos" w:hAnsi="Aptos"/>
          <w:color w:val="263238"/>
          <w:sz w:val="20"/>
        </w:rPr>
      </w:r>
      <w:r>
        <w:rPr>
          <w:rFonts w:ascii="Aptos" w:hAnsi="Aptos"/>
          <w:color w:val="263238"/>
          <w:sz w:val="20"/>
        </w:rPr>
        <w:t>SERINTSA IPS facilitará el acceso autorizado a la información, usuarios, sistemas, bases de datos y ambientes necesarios para ejecutar las actividades y desarrollos priorizados.</w:t>
      </w:r>
    </w:p>
    <w:p>
      <w:pPr>
        <w:pStyle w:val="ListBullet"/>
        <w:spacing w:after="60" w:line="252" w:lineRule="auto"/>
      </w:pPr>
      <w:r>
        <w:rPr>
          <w:rFonts w:ascii="Aptos" w:hAnsi="Aptos"/>
          <w:color w:val="263238"/>
          <w:sz w:val="20"/>
        </w:rPr>
        <w:t>La prestación no estará sujeta a un horario fijo dentro de la institución; la presencia física se realizará cuando la naturaleza del requerimiento lo haga necesario, manteniendo disponibilidad de atención y coordinación conforme a las prioridades del servicio.</w:t>
      </w:r>
    </w:p>
    <w:p>
      <w:pPr>
        <w:pStyle w:val="ListBullet"/>
        <w:spacing w:after="60" w:line="252" w:lineRule="auto"/>
      </w:pPr>
      <w:r>
        <w:rPr>
          <w:rFonts w:ascii="Aptos" w:hAnsi="Aptos"/>
          <w:color w:val="263238"/>
          <w:sz w:val="20"/>
        </w:rPr>
        <w:t>Toda intervención sobre sistemas críticos deberá coordinarse con los responsables designados por la institución.</w:t>
      </w:r>
    </w:p>
    <w:p>
      <w:pPr>
        <w:pStyle w:val="ListBullet"/>
        <w:spacing w:after="60" w:line="252" w:lineRule="auto"/>
      </w:pPr>
      <w:r>
        <w:rPr>
          <w:rFonts w:ascii="Aptos" w:hAnsi="Aptos"/>
          <w:color w:val="263238"/>
          <w:sz w:val="20"/>
        </w:rPr>
        <w:t>La viabilidad de integrar o migrar sistemas dependerá de las características técnicas, permisos, licenciamiento, documentación y acceso disponibles.</w:t>
      </w:r>
    </w:p>
    <w:p>
      <w:pPr>
        <w:pStyle w:val="ListBullet"/>
        <w:spacing w:after="60" w:line="252" w:lineRule="auto"/>
      </w:pPr>
      <w:r>
        <w:rPr>
          <w:rFonts w:ascii="Aptos" w:hAnsi="Aptos"/>
          <w:color w:val="263238"/>
          <w:sz w:val="20"/>
        </w:rPr>
        <w:t>Los tiempos de cada iniciativa dependerán de su complejidad, calidad de la información existente, dependencias, disponibilidad de usuarios y alcance aprobado.</w:t>
      </w:r>
    </w:p>
    <w:p>
      <w:pPr>
        <w:pStyle w:val="ListBullet"/>
        <w:spacing w:after="60" w:line="252" w:lineRule="auto"/>
      </w:pPr>
      <w:r>
        <w:rPr>
          <w:rFonts w:ascii="Aptos" w:hAnsi="Aptos"/>
          <w:color w:val="263238"/>
          <w:sz w:val="20"/>
        </w:rPr>
        <w:t>Los servicios de terceros, licencias, dominios, hosting, nube, servidores, equipos, repuestos, consumibles y demás adquisiciones no forman parte del valor mensual, salvo acuerdo expreso.</w:t>
      </w:r>
    </w:p>
    <w:p>
      <w:pPr>
        <w:pStyle w:val="ListBullet"/>
        <w:spacing w:after="60" w:line="252" w:lineRule="auto"/>
      </w:pPr>
      <w:r>
        <w:rPr>
          <w:rFonts w:ascii="Aptos" w:hAnsi="Aptos"/>
          <w:color w:val="263238"/>
          <w:sz w:val="20"/>
        </w:rPr>
        <w:t>Las soluciones que involucren datos sensibles deberán cumplir las políticas internas y controles definidos por SERINTSA IPS.</w:t>
      </w:r>
    </w:p>
    <w:p>
      <w:pPr>
        <w:pStyle w:val="ListBullet"/>
        <w:spacing w:after="60" w:line="252" w:lineRule="auto"/>
      </w:pPr>
      <w:r>
        <w:rPr>
          <w:rFonts w:ascii="Aptos" w:hAnsi="Aptos"/>
          <w:color w:val="263238"/>
          <w:sz w:val="20"/>
        </w:rPr>
        <w:t>Las necesidades podrán cambiar durante la ejecución; cualquier cambio significativo deberá incorporarse al esquema de priorización.</w:t>
      </w:r>
    </w:p>
    <w:p>
      <w:pPr>
        <w:pStyle w:val="ListBullet"/>
        <w:spacing w:after="60" w:line="252" w:lineRule="auto"/>
      </w:pPr>
      <w:r>
        <w:rPr>
          <w:rFonts w:ascii="Aptos" w:hAnsi="Aptos"/>
          <w:color w:val="263238"/>
          <w:sz w:val="20"/>
        </w:rPr>
      </w:r>
      <w:r>
        <w:rPr>
          <w:rFonts w:ascii="Aptos" w:hAnsi="Aptos"/>
          <w:color w:val="263238"/>
          <w:sz w:val="20"/>
        </w:rPr>
        <w:t>La propuesta está orientada a reducir progresivamente la dependencia de aplicaciones y tecnologías antiguas. La modernización, migración o sustitución total o parcial de ASIS y de otras plataformas se ejecutará de forma progresiva, realizando los desarrollos e integraciones necesarios y priorizando la continuidad de la operación y la adecuada transición de la información y los procesos.</w:t>
      </w:r>
    </w:p>
    <w:p>
      <w:pPr>
        <w:pStyle w:val="ListBullet"/>
        <w:spacing w:after="60" w:line="259" w:lineRule="auto"/>
      </w:pPr>
      <w:r>
        <w:rPr>
          <w:rFonts w:ascii="Aptos" w:hAnsi="Aptos"/>
          <w:b w:val="0"/>
          <w:color w:val="263238"/>
          <w:sz w:val="20"/>
        </w:rPr>
        <w:t>El soporte sobre aplicaciones de terceros, incluido TNS, se realizará hasta el nivel permitido por los accesos, licencias, documentación y capacidades disponibles. Las incidencias que requieran intervención del fabricante o proveedor serán diagnosticadas, documentadas y escaladas para su atención especializada.</w:t>
      </w:r>
    </w:p>
    <w:p>
      <w:pPr>
        <w:pStyle w:val="Heading1"/>
        <w:keepNext/>
      </w:pPr>
      <w:r/>
      <w:r>
        <w:rPr/>
        <w:t>17. Modelo de relación de trabajo</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La propuesta da continuidad al acompañamiento técnico existente y combina dos resultados: ejecutar soluciones de modernización, incluyendo el desarrollo de software requerido, y mantener capacidad de soporte para atender incidentes que afecten a usuarios, equipos, aplicaciones y sedes cubiertas.</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SERINTSA IPS orientará las prioridades institucionales y la gestión técnica coordinará tanto las iniciativas de modernización como la atención de soporte, considerando criticidad, impacto, riesgos y dependencias.</w:t>
      </w:r>
    </w:p>
    <w:p>
      <w:pPr>
        <w:pStyle w:val="Heading1"/>
        <w:keepNext/>
      </w:pPr>
      <w:r/>
      <w:r>
        <w:rPr/>
        <w:t>18. Visión integral de modernización y soporte tecnológico</w:t>
      </w:r>
    </w:p>
    <w:p>
      <w:pPr>
        <w:spacing w:after="120" w:before="0" w:line="259" w:lineRule="auto"/>
      </w:pPr>
      <w:r>
        <w:rPr>
          <w:rFonts w:ascii="Aptos" w:hAnsi="Aptos"/>
          <w:b w:val="0"/>
          <w:i w:val="0"/>
          <w:color w:val="263238"/>
          <w:sz w:val="21"/>
        </w:rPr>
      </w:r>
      <w:r>
        <w:rPr>
          <w:rFonts w:ascii="Aptos" w:hAnsi="Aptos"/>
          <w:b w:val="0"/>
          <w:i w:val="0"/>
          <w:color w:val="263238"/>
          <w:sz w:val="21"/>
        </w:rPr>
        <w:t>A mediano plazo, SERINTSA IPS podrá avanzar desde aplicaciones heredadas, programas antiguos y procesos manuales hacia un ecosistema más actual, integrado y sostenible, mientras fortalece la continuidad de su operación mediante una gestión organizada del soporte a equipos, usuarios y aplicaciones.</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La meta es consolidar una base tecnológica moderna mediante actualización, migración, integración y nuevos desarrollos, acompañada de soporte operativo oportuno que contribuya a mantener disponibles los recursos tecnológicos requeridos por la institución.</w:t>
      </w:r>
    </w:p>
    <w:p>
      <w:pPr>
        <w:pStyle w:val="Heading1"/>
        <w:keepNext/>
      </w:pPr>
      <w:r>
        <w:t>19. Cierre</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Agradezco a SERINTSA IPS la oportunidad de presentar esta propuesta de continuidad. El estudio previamente realizado permite concentrar esta nueva etapa en la ejecución de la modernización tecnológica y en el soporte necesario para la continuidad de la operación.</w:t>
      </w:r>
    </w:p>
    <w:p>
      <w:pPr>
        <w:spacing w:after="120" w:before="0" w:line="259" w:lineRule="auto"/>
      </w:pPr>
      <w:r>
        <w:rPr>
          <w:rFonts w:ascii="Aptos" w:hAnsi="Aptos"/>
          <w:b w:val="0"/>
          <w:i w:val="0"/>
          <w:color w:val="263238"/>
          <w:sz w:val="21"/>
        </w:rPr>
      </w:r>
      <w:r>
        <w:rPr>
          <w:rFonts w:ascii="Aptos" w:hAnsi="Aptos"/>
          <w:b w:val="0"/>
          <w:i w:val="0"/>
          <w:color w:val="263238"/>
          <w:sz w:val="21"/>
        </w:rPr>
      </w:r>
      <w:r>
        <w:rPr>
          <w:rFonts w:ascii="Aptos" w:hAnsi="Aptos"/>
          <w:b w:val="0"/>
          <w:i w:val="0"/>
          <w:color w:val="263238"/>
          <w:sz w:val="21"/>
        </w:rPr>
        <w:t>El compromiso comprende actualización, migración, integración, desarrollo de software y modernización de procesos y aplicaciones antiguas, junto con soporte a equipos, usuarios y sistemas. De esta manera se busca combinar transformación tecnológica y continuidad operativa dentro de una misma prestación profesional.</w:t>
      </w:r>
    </w:p>
    <w:p>
      <w:pPr>
        <w:spacing w:after="280" w:before="0" w:line="259" w:lineRule="auto"/>
      </w:pPr>
      <w:r>
        <w:rPr>
          <w:rFonts w:ascii="Aptos" w:hAnsi="Aptos"/>
          <w:b w:val="0"/>
          <w:i w:val="0"/>
          <w:color w:val="263238"/>
          <w:sz w:val="21"/>
        </w:rPr>
      </w:r>
    </w:p>
    <w:p>
      <w:pPr>
        <w:spacing w:after="280" w:before="0" w:line="259" w:lineRule="auto"/>
      </w:pPr>
      <w:r>
        <w:rPr>
          <w:rFonts w:ascii="Aptos" w:hAnsi="Aptos"/>
          <w:b w:val="0"/>
          <w:i w:val="0"/>
          <w:color w:val="5F6B73"/>
          <w:sz w:val="20"/>
        </w:rPr>
        <w:t>Atentamente,</w:t>
      </w:r>
    </w:p>
    <w:p>
      <w:pPr>
        <w:spacing w:after="0" w:before="0" w:line="259" w:lineRule="auto"/>
      </w:pPr>
      <w:r>
        <w:rPr>
          <w:rFonts w:ascii="Aptos" w:hAnsi="Aptos"/>
          <w:b/>
          <w:i w:val="0"/>
          <w:color w:val="17365D"/>
          <w:sz w:val="24"/>
        </w:rPr>
        <w:t>Einer Daniel Pallares Amaya</w:t>
      </w:r>
    </w:p>
    <w:p>
      <w:pPr>
        <w:spacing w:after="200" w:before="0" w:line="259" w:lineRule="auto"/>
      </w:pPr>
      <w:r>
        <w:rPr>
          <w:rFonts w:ascii="Aptos" w:hAnsi="Aptos"/>
          <w:b w:val="0"/>
          <w:i w:val="0"/>
          <w:color w:val="263238"/>
          <w:sz w:val="21"/>
        </w:rPr>
        <w:t>Ingeniero de Sistemas</w:t>
      </w:r>
    </w:p>
    <w:p>
      <w:pPr>
        <w:spacing w:after="40" w:before="0" w:line="259" w:lineRule="auto"/>
      </w:pPr>
      <w:r>
        <w:rPr>
          <w:rFonts w:ascii="Aptos" w:hAnsi="Aptos"/>
          <w:b w:val="0"/>
          <w:i w:val="0"/>
          <w:color w:val="5F6B73"/>
          <w:sz w:val="19"/>
        </w:rPr>
        <w:t>Teléfono: ____________________________________</w:t>
      </w:r>
    </w:p>
    <w:p>
      <w:pPr>
        <w:spacing w:after="40" w:before="0" w:line="259" w:lineRule="auto"/>
      </w:pPr>
      <w:r>
        <w:rPr>
          <w:rFonts w:ascii="Aptos" w:hAnsi="Aptos"/>
          <w:b w:val="0"/>
          <w:i w:val="0"/>
          <w:color w:val="5F6B73"/>
          <w:sz w:val="19"/>
        </w:rPr>
        <w:t>Correo electrónico: ____________________________</w:t>
      </w:r>
    </w:p>
    <w:sectPr w:rsidR="00FC693F" w:rsidRPr="0006063C" w:rsidSect="00034616">
      <w:headerReference w:type="default" r:id="rId9"/>
      <w:footerReference w:type="default" r:id="rId10"/>
      <w:headerReference w:type="first" r:id="rId11"/>
      <w:footerReference w:type="first" r:id="rId12"/>
      <w:pgSz w:w="11906" w:h="16838"/>
      <w:pgMar w:top="1219" w:right="1276" w:bottom="1134" w:left="1276" w:header="454" w:footer="45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071" w:val="right"/>
      </w:tabs>
      <w:jc w:val="right"/>
    </w:pPr>
    <w:r>
      <w:rPr>
        <w:rFonts w:ascii="Aptos" w:hAnsi="Aptos"/>
        <w:color w:val="5F6B73"/>
        <w:sz w:val="16"/>
      </w:rPr>
      <w:t>Einer Daniel Pallares Amaya · Ingeniero de Sistemas</w:t>
    </w:r>
    <w:r>
      <w:tab/>
    </w:r>
    <w:r>
      <w:rPr>
        <w:rFonts w:ascii="Aptos" w:hAnsi="Aptos"/>
        <w:sz w:val="16"/>
      </w:rPr>
      <w:t xml:space="preserve">Página </w:t>
      <w:fldChar w:fldCharType="begin"/>
      <w:instrText xml:space="preserve"> PAGE </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Bdr>
        <w:bottom w:val="single" w:sz="10" w:space="4" w:color="2F75B5"/>
      </w:pBdr>
    </w:pPr>
    <w:r>
      <w:rPr>
        <w:rFonts w:ascii="Aptos" w:hAnsi="Aptos"/>
        <w:color w:val="5F6B73"/>
        <w:sz w:val="15"/>
      </w:rPr>
      <w:t>SERINTSA IPS  |  PROPUESTA DE SERVICIOS PROFESIONALES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color w:val="263238"/>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Display" w:hAnsi="Aptos Display"/>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ptos" w:hAnsi="Aptos"/>
      <w:b/>
      <w:bCs/>
      <w:color w:val="2F75B5"/>
      <w:sz w:val="24"/>
      <w:szCs w:val="26"/>
    </w:rPr>
  </w:style>
  <w:style w:type="paragraph" w:styleId="Heading3">
    <w:name w:val="heading 3"/>
    <w:basedOn w:val="Normal"/>
    <w:next w:val="Normal"/>
    <w:link w:val="Heading3Char"/>
    <w:uiPriority w:val="9"/>
    <w:unhideWhenUsed/>
    <w:qFormat/>
    <w:rsid w:val="00FC693F"/>
    <w:pPr>
      <w:keepNext/>
      <w:keepLines/>
      <w:spacing w:before="140" w:after="100"/>
      <w:outlineLvl w:val="2"/>
    </w:pPr>
    <w:rPr>
      <w:rFonts w:asciiTheme="majorHAnsi" w:eastAsiaTheme="majorEastAsia" w:hAnsiTheme="majorHAnsi" w:cstheme="majorBidi" w:ascii="Aptos" w:hAnsi="Aptos"/>
      <w:b/>
      <w:bCs/>
      <w:color w:val="26323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0"/>
    </w:rPr>
  </w:style>
  <w:style w:type="paragraph" w:styleId="ListBullet2">
    <w:name w:val="List Bullet 2"/>
    <w:basedOn w:val="Normal"/>
    <w:uiPriority w:val="99"/>
    <w:unhideWhenUsed/>
    <w:rsid w:val="00326F90"/>
    <w:pPr>
      <w:numPr>
        <w:numId w:val="2"/>
      </w:numPr>
      <w:contextualSpacing/>
    </w:pPr>
    <w:rPr>
      <w:rFonts w:ascii="Aptos" w:hAnsi="Aptos"/>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Integral de Servicios Profesionales - Modernización y Soporte Tecnológico SERINTSA IPS</dc:title>
  <dc:subject>Modernización de procesos y aplicaciones antiguas, desarrollo de software y soporte tecnológico integral</dc:subject>
  <dc:creator>Einer Daniel Pallares Amaya</dc:creator>
  <cp:keywords>SERINTSA IPS, Ingeniería de Sistemas, modernización tecnológica, migración, actualización de aplicaciones, OPS</cp:keywords>
  <dc:description>Versión actualizada: soporte TNS, Farmaserintsa y CABE.</dc:description>
  <cp:lastModifiedBy/>
  <cp:revision>1</cp:revision>
  <dcterms:created xsi:type="dcterms:W3CDTF">2013-12-23T23:15:00Z</dcterms:created>
  <dcterms:modified xsi:type="dcterms:W3CDTF">2013-12-23T23:15:00Z</dcterms:modified>
  <cp:category/>
</cp:coreProperties>
</file>