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900"/>
        <w:jc w:val="left"/>
      </w:pPr>
      <w:r>
        <w:rPr>
          <w:rFonts w:ascii="Aptos Display" w:hAnsi="Aptos Display"/>
          <w:b/>
          <w:color w:val="2F75B5"/>
          <w:sz w:val="36"/>
        </w:rPr>
        <w:t>SERINTSA IPS</w:t>
      </w:r>
    </w:p>
    <w:p>
      <w:pPr>
        <w:spacing w:before="1200" w:after="160"/>
      </w:pPr>
      <w:r>
        <w:rPr>
          <w:rFonts w:ascii="Aptos Display" w:hAnsi="Aptos Display"/>
          <w:b/>
          <w:color w:val="17365D"/>
          <w:sz w:val="54"/>
        </w:rPr>
        <w:t>PROPUESTA DE PRESTACIÓN</w:t>
        <w:br/>
        <w:t>DE SERVICIOS PROFESIONALES</w:t>
      </w:r>
    </w:p>
    <w:p>
      <w:pPr>
        <w:spacing w:after="440"/>
      </w:pPr>
      <w:r>
        <w:rPr>
          <w:rFonts w:ascii="Aptos" w:hAnsi="Aptos"/>
          <w:color w:val="2F75B5"/>
          <w:sz w:val="28"/>
        </w:rPr>
        <w:t>Ingeniería de Sistemas y Transformación Digital</w:t>
      </w:r>
    </w:p>
    <w:tbl>
      <w:tblPr>
        <w:tblW w:type="auto" w:w="0"/>
        <w:jc w:val="left"/>
        <w:tblLayout w:type="fixed"/>
        <w:tblLook w:firstColumn="1" w:firstRow="1" w:lastColumn="0" w:lastRow="0" w:noHBand="0" w:noVBand="1" w:val="04A0"/>
      </w:tblPr>
      <w:tblGrid>
        <w:gridCol w:w="198"/>
        <w:gridCol w:w="8277"/>
      </w:tblGrid>
      <w:tr>
        <w:trPr>
          <w:cantSplit/>
        </w:trPr>
        <w:tc>
          <w:tcPr>
            <w:tcW w:type="dxa" w:w="4677"/>
            <w:shd w:fill="2F75B5"/>
            <w:tcMar>
              <w:top w:w="0" w:type="dxa"/>
              <w:start w:w="0" w:type="dxa"/>
              <w:bottom w:w="0" w:type="dxa"/>
              <w:end w:w="0" w:type="dxa"/>
            </w:tcMar>
          </w:tcPr>
          <w:p/>
        </w:tc>
        <w:tc>
          <w:tcPr>
            <w:tcW w:type="dxa" w:w="4677"/>
            <w:shd w:fill="F3F7FB"/>
            <w:tcMar>
              <w:top w:w="180" w:type="dxa"/>
              <w:start w:w="220" w:type="dxa"/>
              <w:bottom w:w="180" w:type="dxa"/>
              <w:end w:w="220" w:type="dxa"/>
            </w:tcMar>
          </w:tcPr>
          <w:p>
            <w:r>
              <w:rPr>
                <w:rFonts w:ascii="Aptos" w:hAnsi="Aptos"/>
                <w:b/>
                <w:color w:val="17365D"/>
                <w:sz w:val="21"/>
              </w:rPr>
              <w:t>Enfoque</w:t>
            </w:r>
          </w:p>
          <w:p>
            <w:pPr>
              <w:spacing w:after="0"/>
            </w:pPr>
            <w:r>
              <w:rPr>
                <w:rFonts w:ascii="Aptos" w:hAnsi="Aptos"/>
                <w:color w:val="263238"/>
                <w:sz w:val="20"/>
              </w:rPr>
            </w:r>
            <w:r>
              <w:rPr>
                <w:rFonts w:ascii="Aptos" w:hAnsi="Aptos"/>
                <w:color w:val="263238"/>
                <w:sz w:val="20"/>
              </w:rPr>
              <w:t>Ejecución de soluciones · actualización de aplicaciones · desarrollo de software · migración tecnológica · integración · modernización de procesos · automatización · soporte</w:t>
            </w:r>
          </w:p>
        </w:tc>
      </w:tr>
    </w:tbl>
    <w:p>
      <w:pPr>
        <w:spacing w:after="600" w:before="0" w:line="259" w:lineRule="auto"/>
      </w:pPr>
      <w:r>
        <w:rPr>
          <w:rFonts w:ascii="Aptos" w:hAnsi="Aptos"/>
          <w:b w:val="0"/>
          <w:i w:val="0"/>
          <w:color w:val="263238"/>
          <w:sz w:val="21"/>
        </w:rPr>
      </w:r>
    </w:p>
    <w:p>
      <w:pPr>
        <w:spacing w:after="20" w:before="0" w:line="259" w:lineRule="auto"/>
      </w:pPr>
      <w:r>
        <w:rPr>
          <w:rFonts w:ascii="Aptos" w:hAnsi="Aptos"/>
          <w:b/>
          <w:i w:val="0"/>
          <w:color w:val="5F6B73"/>
          <w:sz w:val="19"/>
        </w:rPr>
        <w:t>Proponente</w:t>
      </w:r>
    </w:p>
    <w:p>
      <w:pPr>
        <w:spacing w:after="0" w:before="0" w:line="259" w:lineRule="auto"/>
      </w:pPr>
      <w:r>
        <w:rPr>
          <w:rFonts w:ascii="Aptos" w:hAnsi="Aptos"/>
          <w:b/>
          <w:i w:val="0"/>
          <w:color w:val="17365D"/>
          <w:sz w:val="26"/>
        </w:rPr>
        <w:t>Einer Daniel Pallares Amaya</w:t>
      </w:r>
    </w:p>
    <w:p>
      <w:pPr>
        <w:spacing w:after="320" w:before="0" w:line="259" w:lineRule="auto"/>
      </w:pPr>
      <w:r>
        <w:rPr>
          <w:rFonts w:ascii="Aptos" w:hAnsi="Aptos"/>
          <w:b w:val="0"/>
          <w:i w:val="0"/>
          <w:color w:val="263238"/>
          <w:sz w:val="21"/>
        </w:rPr>
        <w:t>Ingeniero de Sistemas</w:t>
      </w:r>
    </w:p>
    <w:p>
      <w:pPr>
        <w:spacing w:after="20" w:before="0" w:line="259" w:lineRule="auto"/>
      </w:pPr>
      <w:r>
        <w:rPr>
          <w:rFonts w:ascii="Aptos" w:hAnsi="Aptos"/>
          <w:b/>
          <w:i w:val="0"/>
          <w:color w:val="5F6B73"/>
          <w:sz w:val="19"/>
        </w:rPr>
        <w:t>Modalidad contractual</w:t>
      </w:r>
    </w:p>
    <w:p>
      <w:pPr>
        <w:spacing w:after="280" w:before="0" w:line="259" w:lineRule="auto"/>
      </w:pPr>
      <w:r>
        <w:rPr>
          <w:rFonts w:ascii="Aptos" w:hAnsi="Aptos"/>
          <w:b/>
          <w:i w:val="0"/>
          <w:color w:val="263238"/>
          <w:sz w:val="22"/>
        </w:rPr>
        <w:t>Prestación de Servicios Profesionales — OPS</w:t>
      </w:r>
    </w:p>
    <w:p>
      <w:pPr>
        <w:spacing w:after="20" w:before="0" w:line="259" w:lineRule="auto"/>
      </w:pPr>
      <w:r>
        <w:rPr>
          <w:rFonts w:ascii="Aptos" w:hAnsi="Aptos"/>
          <w:b/>
          <w:i w:val="0"/>
          <w:color w:val="5F6B73"/>
          <w:sz w:val="19"/>
        </w:rPr>
        <w:t>Valor mensual</w:t>
      </w:r>
    </w:p>
    <w:p>
      <w:pPr>
        <w:spacing w:after="280" w:before="0" w:line="259" w:lineRule="auto"/>
      </w:pPr>
      <w:r>
        <w:rPr>
          <w:rFonts w:ascii="Aptos" w:hAnsi="Aptos"/>
          <w:b/>
          <w:i w:val="0"/>
          <w:color w:val="2E7D32"/>
          <w:sz w:val="30"/>
        </w:rPr>
        <w:t>$7.000.000 COP</w:t>
      </w:r>
    </w:p>
    <w:p>
      <w:pPr>
        <w:spacing w:after="20" w:before="0" w:line="259" w:lineRule="auto"/>
      </w:pPr>
      <w:r>
        <w:rPr>
          <w:rFonts w:ascii="Aptos" w:hAnsi="Aptos"/>
          <w:b/>
          <w:i w:val="0"/>
          <w:color w:val="5F6B73"/>
          <w:sz w:val="19"/>
        </w:rPr>
        <w:t>Fecha de presentación</w:t>
      </w:r>
    </w:p>
    <w:p>
      <w:pPr>
        <w:spacing w:after="0" w:before="0" w:line="259" w:lineRule="auto"/>
      </w:pPr>
      <w:r>
        <w:rPr>
          <w:rFonts w:ascii="Aptos" w:hAnsi="Aptos"/>
          <w:b w:val="0"/>
          <w:i w:val="0"/>
          <w:color w:val="263238"/>
          <w:sz w:val="21"/>
        </w:rPr>
        <w:t>18 de agosto de 2026</w:t>
      </w:r>
    </w:p>
    <w:p>
      <w:r>
        <w:br w:type="page"/>
      </w:r>
    </w:p>
    <w:p>
      <w:pPr>
        <w:pStyle w:val="Heading1"/>
        <w:keepNext/>
      </w:pPr>
      <w:r>
        <w:t>1. Resumen ejecutivo</w:t>
      </w:r>
    </w:p>
    <w:p>
      <w:pPr>
        <w:spacing w:after="120" w:before="0" w:line="259" w:lineRule="auto"/>
      </w:pPr>
      <w:r>
        <w:rPr>
          <w:rFonts w:ascii="Aptos" w:hAnsi="Aptos"/>
          <w:b w:val="0"/>
          <w:i w:val="0"/>
          <w:color w:val="263238"/>
          <w:sz w:val="21"/>
        </w:rPr>
      </w:r>
      <w:r>
        <w:rPr>
          <w:rFonts w:ascii="Aptos" w:hAnsi="Aptos"/>
          <w:b w:val="0"/>
          <w:i w:val="0"/>
          <w:color w:val="263238"/>
          <w:sz w:val="21"/>
        </w:rPr>
        <w:t>La presente propuesta da continuidad al acompañamiento tecnológico realizado previamente en SERINTSA IPS. Durante la contratación anterior se efectuó el estudio y análisis de las necesidades de las diferentes áreas, se conocieron los procesos institucionales y se identificaron aplicaciones, programas, herramientas y actividades susceptibles de actualización y modernización. Por lo tanto, esta nueva etapa no se plantea como un nuevo diagnóstico, sino como una fase orientada principalmente a la ejecución de las soluciones requeridas.</w:t>
      </w:r>
    </w:p>
    <w:p>
      <w:pPr>
        <w:spacing w:after="120" w:before="0" w:line="259" w:lineRule="auto"/>
      </w:pPr>
      <w:r>
        <w:rPr>
          <w:rFonts w:ascii="Aptos" w:hAnsi="Aptos"/>
          <w:b w:val="0"/>
          <w:i w:val="0"/>
          <w:color w:val="263238"/>
          <w:sz w:val="21"/>
        </w:rPr>
      </w:r>
      <w:r>
        <w:rPr>
          <w:rFonts w:ascii="Aptos" w:hAnsi="Aptos"/>
          <w:b w:val="0"/>
          <w:i w:val="0"/>
          <w:color w:val="263238"/>
          <w:sz w:val="21"/>
        </w:rPr>
        <w:t>El punto de partida será el estudio previamente realizado y las necesidades ya identificadas. El servicio estará centrado en ejecutar la actualización, migración, integración y modernización de procesos y aplicaciones antiguas. Para cumplir este propósito se incluye el diseño, programación y desarrollo de cualquier solución de software que resulte necesaria, así como pruebas, implementación, ajustes, integración y acompañamiento en la puesta en operación. Solo se realizarán validaciones técnicas adicionales cuando sean indispensables para ejecutar correctamente una solución.</w:t>
      </w:r>
    </w:p>
    <w:tbl>
      <w:tblPr>
        <w:tblW w:type="auto" w:w="0"/>
        <w:jc w:val="center"/>
        <w:tblLayout w:type="fixed"/>
        <w:tblLook w:firstColumn="1" w:firstRow="1" w:lastColumn="0" w:lastRow="0" w:noHBand="0" w:noVBand="1" w:val="04A0"/>
      </w:tblPr>
      <w:tblGrid>
        <w:gridCol w:w="198"/>
        <w:gridCol w:w="8844"/>
      </w:tblGrid>
      <w:tr>
        <w:trPr>
          <w:cantSplit/>
        </w:trPr>
        <w:tc>
          <w:tcPr>
            <w:tcW w:type="dxa" w:w="198"/>
            <w:shd w:fill="2F75B5"/>
            <w:tcMar>
              <w:top w:w="0" w:type="dxa"/>
              <w:start w:w="0" w:type="dxa"/>
              <w:bottom w:w="0" w:type="dxa"/>
              <w:end w:w="0" w:type="dxa"/>
            </w:tcMar>
          </w:tcPr>
          <w:p/>
        </w:tc>
        <w:tc>
          <w:tcPr>
            <w:tcW w:type="dxa" w:w="8844"/>
            <w:shd w:fill="F3F7FB"/>
            <w:tcMar>
              <w:top w:w="140" w:type="dxa"/>
              <w:start w:w="180" w:type="dxa"/>
              <w:bottom w:w="140" w:type="dxa"/>
              <w:end w:w="180" w:type="dxa"/>
            </w:tcMar>
          </w:tcPr>
          <w:p>
            <w:pPr>
              <w:spacing w:after="60"/>
            </w:pPr>
            <w:r>
              <w:rPr>
                <w:rFonts w:ascii="Aptos" w:hAnsi="Aptos"/>
                <w:b/>
                <w:color w:val="17365D"/>
                <w:sz w:val="21"/>
              </w:rPr>
              <w:t>Principio rector de la propuesta</w:t>
            </w:r>
          </w:p>
          <w:p>
            <w:pPr>
              <w:spacing w:after="0" w:line="252" w:lineRule="auto"/>
            </w:pPr>
            <w:r>
              <w:rPr>
                <w:rFonts w:ascii="Aptos" w:hAnsi="Aptos"/>
                <w:color w:val="263238"/>
                <w:sz w:val="20"/>
              </w:rPr>
            </w:r>
            <w:r>
              <w:rPr>
                <w:rFonts w:ascii="Aptos" w:hAnsi="Aptos"/>
                <w:color w:val="263238"/>
                <w:sz w:val="20"/>
              </w:rPr>
              <w:t>El estudio de necesidades ya fue realizado durante la contratación previa. Esta nueva etapa se orienta a ejecutar las soluciones de modernización, incluyendo cualquier desarrollo de software necesario para actualizar, migrar, integrar o sustituir progresivamente procesos y aplicaciones antiguas.</w:t>
            </w:r>
          </w:p>
        </w:tc>
      </w:tr>
    </w:tbl>
    <w:p>
      <w:pPr>
        <w:spacing w:after="40"/>
      </w:pPr>
    </w:p>
    <w:p>
      <w:pPr>
        <w:spacing w:after="120" w:before="0" w:line="259" w:lineRule="auto"/>
      </w:pPr>
      <w:r>
        <w:rPr>
          <w:rFonts w:ascii="Aptos" w:hAnsi="Aptos"/>
          <w:b w:val="0"/>
          <w:i w:val="0"/>
          <w:color w:val="263238"/>
          <w:sz w:val="21"/>
        </w:rPr>
      </w:r>
      <w:r>
        <w:rPr>
          <w:rFonts w:ascii="Aptos" w:hAnsi="Aptos"/>
          <w:b w:val="0"/>
          <w:i w:val="0"/>
          <w:color w:val="263238"/>
          <w:sz w:val="21"/>
        </w:rPr>
        <w:t>El estudio previo permitió establecer oportunidades de modernización relacionadas con el sistema ASIS, aplicaciones desarrolladas en Microsoft Access, herramientas locales antiguas, procesos manuales asociados al laboratorio, el soporte tecnológico a usuarios y equipos, y el acompañamiento sobre el software TNS utilizado por las áreas de facturación y contabilidad. La cobertura del servicio comprenderá igualmente las sedes Farmaserintsa y CABE, esta última ubicada en las instalaciones del Hospital de Ecopetrol. Estos componentes constituyen frentes ya identificados sobre los cuales se podrán ejecutar acciones de actualización, migración, integración, desarrollo y transformación tecnológica, junto con las demás prioridades institucionales.</w:t>
      </w:r>
    </w:p>
    <w:p>
      <w:pPr>
        <w:pStyle w:val="Heading1"/>
        <w:keepNext/>
      </w:pPr>
      <w:r/>
      <w:r>
        <w:rPr/>
        <w:t>2. Antecedentes y punto de partida</w:t>
      </w:r>
    </w:p>
    <w:p>
      <w:pPr>
        <w:spacing w:after="120" w:before="0" w:line="259" w:lineRule="auto"/>
      </w:pPr>
      <w:r>
        <w:rPr>
          <w:rFonts w:ascii="Aptos" w:hAnsi="Aptos"/>
          <w:b w:val="0"/>
          <w:i w:val="0"/>
          <w:color w:val="263238"/>
          <w:sz w:val="21"/>
        </w:rPr>
      </w:r>
      <w:r>
        <w:rPr>
          <w:rFonts w:ascii="Aptos" w:hAnsi="Aptos"/>
          <w:b w:val="0"/>
          <w:i w:val="0"/>
          <w:color w:val="263238"/>
          <w:sz w:val="21"/>
        </w:rPr>
        <w:t>Durante la contratación previa del proponente con SERINTSA IPS se realizó el estudio de las necesidades tecnológicas de las diferentes áreas de la institución. Este trabajo permitió conocer los procesos actuales, identificar actividades manuales, dependencias tecnológicas, aplicaciones heredadas y programas antiguos, así como establecer oportunidades concretas de actualización y modernización.</w:t>
      </w:r>
    </w:p>
    <w:p>
      <w:pPr>
        <w:spacing w:after="120" w:before="0" w:line="259" w:lineRule="auto"/>
      </w:pPr>
      <w:r>
        <w:rPr>
          <w:rFonts w:ascii="Aptos" w:hAnsi="Aptos"/>
          <w:b w:val="0"/>
          <w:i w:val="0"/>
          <w:color w:val="263238"/>
          <w:sz w:val="21"/>
        </w:rPr>
      </w:r>
      <w:r>
        <w:rPr>
          <w:rFonts w:ascii="Aptos" w:hAnsi="Aptos"/>
          <w:b w:val="0"/>
          <w:i w:val="0"/>
          <w:color w:val="263238"/>
          <w:sz w:val="21"/>
        </w:rPr>
        <w:t>En consecuencia, la presente propuesta corresponde a una etapa de ejecución. El énfasis estará en implementar las soluciones derivadas del estudio previo: actualización tecnológica, migración de aplicaciones y datos, integración entre sistemas, automatización de procesos, modernización de programas antiguos y desarrollo de nuevas soluciones cuando sean necesarias para alcanzar los objetivos de modernización, procurando siempre la continuidad de la operación institucional.</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3402"/>
            <w:shd w:fill="17365D"/>
            <w:tcMar>
              <w:top w:w="110" w:type="dxa"/>
              <w:start w:w="120" w:type="dxa"/>
              <w:bottom w:w="110" w:type="dxa"/>
              <w:end w:w="120" w:type="dxa"/>
            </w:tcMar>
            <w:vAlign w:val="center"/>
          </w:tcPr>
          <w:p>
            <w:pPr>
              <w:jc w:val="center"/>
            </w:pPr>
            <w:r>
              <w:rPr>
                <w:rFonts w:ascii="Aptos" w:hAnsi="Aptos"/>
                <w:b/>
                <w:color w:val="FFFFFF"/>
                <w:sz w:val="18"/>
              </w:rPr>
            </w:r>
            <w:r>
              <w:rPr>
                <w:rFonts w:ascii="Aptos" w:hAnsi="Aptos"/>
                <w:b/>
                <w:color w:val="FFFFFF"/>
                <w:sz w:val="18"/>
              </w:rPr>
              <w:t>Necesidad previamente identificada</w:t>
            </w:r>
          </w:p>
        </w:tc>
        <w:tc>
          <w:tcPr>
            <w:tcW w:type="dxa" w:w="5669"/>
            <w:shd w:fill="17365D"/>
            <w:tcMar>
              <w:top w:w="110" w:type="dxa"/>
              <w:start w:w="120" w:type="dxa"/>
              <w:bottom w:w="110" w:type="dxa"/>
              <w:end w:w="120" w:type="dxa"/>
            </w:tcMar>
            <w:vAlign w:val="center"/>
          </w:tcPr>
          <w:p>
            <w:pPr>
              <w:jc w:val="center"/>
            </w:pPr>
            <w:r>
              <w:rPr>
                <w:rFonts w:ascii="Aptos" w:hAnsi="Aptos"/>
                <w:b/>
                <w:color w:val="FFFFFF"/>
                <w:sz w:val="18"/>
              </w:rPr>
              <w:t>Enfoque propuesto</w:t>
            </w:r>
          </w:p>
        </w:tc>
      </w:tr>
      <w:tr>
        <w:trPr>
          <w:cantSplit/>
        </w:trPr>
        <w:tc>
          <w:tcPr>
            <w:tcW w:type="dxa" w:w="3402"/>
            <w:tcMar>
              <w:top w:w="105" w:type="dxa"/>
              <w:start w:w="120" w:type="dxa"/>
              <w:bottom w:w="105" w:type="dxa"/>
              <w:end w:w="120" w:type="dxa"/>
            </w:tcMar>
            <w:vAlign w:val="top"/>
          </w:tcPr>
          <w:p>
            <w:pPr>
              <w:spacing w:after="0"/>
            </w:pPr>
            <w:r>
              <w:rPr>
                <w:rFonts w:ascii="Aptos" w:hAnsi="Aptos"/>
                <w:color w:val="263238"/>
                <w:sz w:val="18"/>
              </w:rPr>
              <w:t>Dependencia de aplicaciones heredadas</w:t>
            </w:r>
          </w:p>
        </w:tc>
        <w:tc>
          <w:tcPr>
            <w:tcW w:type="dxa" w:w="5669"/>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Ejecutar una ruta progresiva de actualización, migración o sustitución, verificando previamente las dependencias técnicas necesarias.</w:t>
            </w:r>
          </w:p>
        </w:tc>
      </w:tr>
      <w:tr>
        <w:trPr>
          <w:cantSplit/>
        </w:trPr>
        <w:tc>
          <w:tcPr>
            <w:tcW w:type="dxa" w:w="3402"/>
            <w:shd w:fill="F8FAFC"/>
            <w:tcMar>
              <w:top w:w="105" w:type="dxa"/>
              <w:start w:w="120" w:type="dxa"/>
              <w:bottom w:w="105" w:type="dxa"/>
              <w:end w:w="120" w:type="dxa"/>
            </w:tcMar>
            <w:vAlign w:val="top"/>
          </w:tcPr>
          <w:p>
            <w:pPr>
              <w:spacing w:after="0"/>
            </w:pPr>
            <w:r>
              <w:rPr>
                <w:rFonts w:ascii="Aptos" w:hAnsi="Aptos"/>
                <w:color w:val="263238"/>
                <w:sz w:val="18"/>
              </w:rPr>
              <w:t>Procesos manuales o duplicados</w:t>
            </w:r>
          </w:p>
        </w:tc>
        <w:tc>
          <w:tcPr>
            <w:tcW w:type="dxa" w:w="5669"/>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Ejecutar automatizaciones y mejoras sobre los puntos de reproceso, duplicidad y captura manual ya identificados.</w:t>
            </w:r>
          </w:p>
        </w:tc>
      </w:tr>
      <w:tr>
        <w:trPr>
          <w:cantSplit/>
        </w:trPr>
        <w:tc>
          <w:tcPr>
            <w:tcW w:type="dxa" w:w="3402"/>
            <w:tcMar>
              <w:top w:w="105" w:type="dxa"/>
              <w:start w:w="120" w:type="dxa"/>
              <w:bottom w:w="105" w:type="dxa"/>
              <w:end w:w="120" w:type="dxa"/>
            </w:tcMar>
            <w:vAlign w:val="top"/>
          </w:tcPr>
          <w:p>
            <w:pPr>
              <w:spacing w:after="0"/>
            </w:pPr>
            <w:r>
              <w:rPr>
                <w:rFonts w:ascii="Aptos" w:hAnsi="Aptos"/>
                <w:color w:val="263238"/>
                <w:sz w:val="18"/>
              </w:rPr>
              <w:t>Sistemas aislados</w:t>
            </w:r>
          </w:p>
        </w:tc>
        <w:tc>
          <w:tcPr>
            <w:tcW w:type="dxa" w:w="5669"/>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Implementar mecanismos de integración e intercambio de información técnicamente viables, con criterios de seguridad y continuidad.</w:t>
            </w:r>
          </w:p>
        </w:tc>
      </w:tr>
      <w:tr>
        <w:trPr>
          <w:cantSplit/>
        </w:trPr>
        <w:tc>
          <w:tcPr>
            <w:tcW w:type="dxa" w:w="3402"/>
            <w:shd w:fill="F8FAFC"/>
            <w:tcMar>
              <w:top w:w="105" w:type="dxa"/>
              <w:start w:w="120" w:type="dxa"/>
              <w:bottom w:w="105" w:type="dxa"/>
              <w:end w:w="120" w:type="dxa"/>
            </w:tcMar>
            <w:vAlign w:val="top"/>
          </w:tcPr>
          <w:p>
            <w:pPr>
              <w:spacing w:after="0"/>
            </w:pPr>
            <w:r>
              <w:rPr>
                <w:rFonts w:ascii="Aptos" w:hAnsi="Aptos"/>
                <w:color w:val="263238"/>
                <w:sz w:val="18"/>
              </w:rPr>
              <w:t>Nuevas necesidades de atención</w:t>
            </w:r>
          </w:p>
        </w:tc>
        <w:tc>
          <w:tcPr>
            <w:tcW w:type="dxa" w:w="5669"/>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Ejecutar soluciones digitales priorizadas según impacto para pacientes, usuarios internos y operación.</w:t>
            </w:r>
          </w:p>
        </w:tc>
      </w:tr>
      <w:tr>
        <w:trPr>
          <w:cantSplit/>
        </w:trPr>
        <w:tc>
          <w:tcPr>
            <w:tcW w:type="dxa" w:w="3402"/>
            <w:tcMar>
              <w:top w:w="105" w:type="dxa"/>
              <w:start w:w="120" w:type="dxa"/>
              <w:bottom w:w="105" w:type="dxa"/>
              <w:end w:w="120" w:type="dxa"/>
            </w:tcMar>
            <w:vAlign w:val="top"/>
          </w:tcPr>
          <w:p>
            <w:pPr>
              <w:spacing w:after="0"/>
            </w:pPr>
            <w:r>
              <w:rPr>
                <w:rFonts w:ascii="Aptos" w:hAnsi="Aptos"/>
                <w:color w:val="263238"/>
                <w:sz w:val="18"/>
              </w:rPr>
              <w:t>Soporte tecnológico disperso</w:t>
            </w:r>
          </w:p>
        </w:tc>
        <w:tc>
          <w:tcPr>
            <w:tcW w:type="dxa" w:w="5669"/>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Fortalecer y modernizar la mesa de ayuda existente para organizar y dar trazabilidad a la atención de incidentes.</w:t>
            </w:r>
          </w:p>
        </w:tc>
      </w:tr>
    </w:tbl>
    <w:p>
      <w:pPr>
        <w:spacing w:after="80"/>
      </w:pPr>
    </w:p>
    <w:p>
      <w:pPr>
        <w:pStyle w:val="Heading1"/>
        <w:keepNext/>
      </w:pPr>
      <w:r>
        <w:t>3. Objeto de la propuesta</w:t>
      </w:r>
    </w:p>
    <w:p>
      <w:pPr>
        <w:spacing w:after="120" w:before="0" w:line="259" w:lineRule="auto"/>
      </w:pPr>
      <w:r>
        <w:rPr>
          <w:rFonts w:ascii="Aptos" w:hAnsi="Aptos"/>
          <w:b w:val="0"/>
          <w:i w:val="0"/>
          <w:color w:val="263238"/>
          <w:sz w:val="21"/>
        </w:rPr>
      </w:r>
      <w:r>
        <w:rPr>
          <w:rFonts w:ascii="Aptos" w:hAnsi="Aptos"/>
          <w:b w:val="0"/>
          <w:i w:val="0"/>
          <w:color w:val="263238"/>
          <w:sz w:val="21"/>
        </w:rPr>
        <w:t>Prestar servicios profesionales de Ingeniería de Sistemas a SERINTSA IPS para ejecutar la actualización, migración, integración y modernización de procesos, aplicaciones y programas antiguos, tomando como base el estudio de necesidades realizado durante la contratación previa. El servicio incluye el diseño y desarrollo de software, aplicaciones, componentes, integraciones, automatizaciones y demás soluciones tecnológicas que sean necesarias para materializar la modernización de los procesos institucionales y reducir progresivamente la dependencia de tecnologías obsoletas.</w:t>
      </w:r>
    </w:p>
    <w:p>
      <w:pPr>
        <w:spacing w:after="120" w:before="0" w:line="259" w:lineRule="auto"/>
      </w:pPr>
      <w:r>
        <w:rPr>
          <w:rFonts w:ascii="Aptos" w:hAnsi="Aptos"/>
          <w:b w:val="0"/>
          <w:i w:val="0"/>
          <w:color w:val="263238"/>
          <w:sz w:val="21"/>
        </w:rPr>
        <w:t>La prestación se desarrollará bajo modalidad OPS por un valor mensual de SIETE MILLONES DE PESOS COLOMBIANOS ($7.000.000 COP), bajo un esquema de trabajo continuo orientado a resultados y priorización conjunta.</w:t>
      </w:r>
    </w:p>
    <w:p>
      <w:pPr>
        <w:pStyle w:val="Heading1"/>
        <w:keepNext/>
      </w:pPr>
      <w:r>
        <w:t>4. Objetivos del servicio</w:t>
      </w:r>
    </w:p>
    <w:p>
      <w:pPr>
        <w:pStyle w:val="ListBullet"/>
        <w:spacing w:after="60" w:line="252" w:lineRule="auto"/>
      </w:pPr>
      <w:r>
        <w:rPr>
          <w:rFonts w:ascii="Aptos" w:hAnsi="Aptos"/>
          <w:color w:val="263238"/>
          <w:sz w:val="20"/>
        </w:rPr>
      </w:r>
      <w:r>
        <w:rPr>
          <w:rFonts w:ascii="Aptos" w:hAnsi="Aptos"/>
          <w:color w:val="263238"/>
          <w:sz w:val="20"/>
        </w:rPr>
        <w:t>Ejecutar las soluciones tecnológicas derivadas del estudio de necesidades realizado previamente en las diferentes áreas de SERINTSA IPS.</w:t>
      </w:r>
    </w:p>
    <w:p>
      <w:pPr>
        <w:pStyle w:val="ListBullet"/>
        <w:spacing w:after="60" w:line="252" w:lineRule="auto"/>
      </w:pPr>
      <w:r>
        <w:rPr>
          <w:rFonts w:ascii="Aptos" w:hAnsi="Aptos"/>
          <w:color w:val="263238"/>
          <w:sz w:val="20"/>
        </w:rPr>
      </w:r>
      <w:r>
        <w:rPr>
          <w:rFonts w:ascii="Aptos" w:hAnsi="Aptos"/>
          <w:color w:val="263238"/>
          <w:sz w:val="20"/>
        </w:rPr>
        <w:t>Convertir las necesidades ya identificadas en proyectos y acciones concretas de actualización, automatización, integración, migración y modernización.</w:t>
      </w:r>
    </w:p>
    <w:p>
      <w:pPr>
        <w:pStyle w:val="ListBullet"/>
        <w:spacing w:after="60" w:line="252" w:lineRule="auto"/>
      </w:pPr>
      <w:r>
        <w:rPr>
          <w:rFonts w:ascii="Aptos" w:hAnsi="Aptos"/>
          <w:color w:val="263238"/>
          <w:sz w:val="20"/>
        </w:rPr>
      </w:r>
      <w:r>
        <w:rPr>
          <w:rFonts w:ascii="Aptos" w:hAnsi="Aptos"/>
          <w:color w:val="263238"/>
          <w:sz w:val="20"/>
        </w:rPr>
        <w:t>Actualizar, migrar, integrar o sustituir progresivamente sistemas, aplicaciones heredadas, bases de datos y herramientas locales cuya tecnología limite la operación o su evolución.</w:t>
      </w:r>
    </w:p>
    <w:p>
      <w:pPr>
        <w:pStyle w:val="ListBullet"/>
        <w:spacing w:after="60" w:line="252" w:lineRule="auto"/>
      </w:pPr>
      <w:r>
        <w:rPr>
          <w:rFonts w:ascii="Aptos" w:hAnsi="Aptos"/>
          <w:color w:val="263238"/>
          <w:sz w:val="20"/>
        </w:rPr>
      </w:r>
      <w:r>
        <w:rPr>
          <w:rFonts w:ascii="Aptos" w:hAnsi="Aptos"/>
          <w:color w:val="263238"/>
          <w:sz w:val="20"/>
        </w:rPr>
        <w:t>Definir y ejecutar rutas de modernización considerando impacto, viabilidad, riesgo, continuidad operativa, dependencias y sostenibilidad tecnológica.</w:t>
      </w:r>
    </w:p>
    <w:p>
      <w:pPr>
        <w:pStyle w:val="ListBullet"/>
        <w:spacing w:after="60" w:line="252" w:lineRule="auto"/>
      </w:pPr>
      <w:r>
        <w:rPr>
          <w:rFonts w:ascii="Aptos" w:hAnsi="Aptos"/>
          <w:color w:val="263238"/>
          <w:sz w:val="20"/>
        </w:rPr>
      </w:r>
      <w:r>
        <w:rPr>
          <w:rFonts w:ascii="Aptos" w:hAnsi="Aptos"/>
          <w:color w:val="263238"/>
          <w:sz w:val="20"/>
        </w:rPr>
        <w:t>Diseñar, programar e implementar las soluciones tecnológicas modernas que sean requeridas para los procesos priorizados, sin limitar el servicio a una tecnología, lenguaje o tipo de aplicación específico.</w:t>
      </w:r>
    </w:p>
    <w:p>
      <w:pPr>
        <w:pStyle w:val="ListBullet"/>
        <w:spacing w:after="60" w:line="252" w:lineRule="auto"/>
      </w:pPr>
      <w:r>
        <w:rPr>
          <w:rFonts w:ascii="Aptos" w:hAnsi="Aptos"/>
          <w:color w:val="263238"/>
          <w:sz w:val="20"/>
        </w:rPr>
      </w:r>
      <w:r>
        <w:rPr>
          <w:rFonts w:ascii="Aptos" w:hAnsi="Aptos"/>
          <w:color w:val="263238"/>
          <w:sz w:val="20"/>
        </w:rPr>
        <w:t>Reducir progresivamente la dependencia de tecnologías antiguas mediante actualización, migración, integración, sustitución y nuevos desarrollos cuando sean necesarios.</w:t>
      </w:r>
    </w:p>
    <w:p>
      <w:pPr>
        <w:pStyle w:val="ListBullet"/>
        <w:spacing w:after="60" w:line="252" w:lineRule="auto"/>
      </w:pPr>
      <w:r>
        <w:rPr>
          <w:rFonts w:ascii="Aptos" w:hAnsi="Aptos"/>
          <w:color w:val="263238"/>
          <w:sz w:val="20"/>
        </w:rPr>
        <w:t>Fortalecer la gestión del soporte tecnológico y la trazabilidad de incidentes mediante las herramientas institucionales disponibles.</w:t>
      </w:r>
    </w:p>
    <w:p>
      <w:pPr>
        <w:pStyle w:val="ListBullet"/>
        <w:spacing w:after="60" w:line="252" w:lineRule="auto"/>
      </w:pPr>
      <w:r>
        <w:rPr>
          <w:rFonts w:ascii="Aptos" w:hAnsi="Aptos"/>
          <w:color w:val="263238"/>
          <w:sz w:val="20"/>
        </w:rPr>
        <w:t>Promover mejores prácticas de seguridad, documentación, respaldo, control de cambios y continuidad.</w:t>
      </w:r>
    </w:p>
    <w:p>
      <w:pPr>
        <w:pStyle w:val="ListBullet"/>
        <w:spacing w:after="60" w:line="252" w:lineRule="auto"/>
      </w:pPr>
      <w:r>
        <w:rPr>
          <w:rFonts w:ascii="Aptos" w:hAnsi="Aptos"/>
          <w:color w:val="263238"/>
          <w:sz w:val="20"/>
        </w:rPr>
      </w:r>
      <w:r>
        <w:rPr>
          <w:rFonts w:ascii="Aptos" w:hAnsi="Aptos"/>
          <w:color w:val="263238"/>
          <w:sz w:val="20"/>
        </w:rPr>
        <w:t>Ejecutar una hoja de ruta tecnológica que permita a SERINTSA IPS modernizar de forma gradual sus aplicaciones y procesos, avanzando hacia servicios digitales más integrados, accesibles y orientados al usuario.</w:t>
      </w:r>
    </w:p>
    <w:p>
      <w:pPr>
        <w:pStyle w:val="Heading1"/>
        <w:keepNext/>
      </w:pPr>
      <w:r>
        <w:t>5. Principios de intervención</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2381"/>
            <w:shd w:fill="17365D"/>
            <w:tcMar>
              <w:top w:w="110" w:type="dxa"/>
              <w:start w:w="120" w:type="dxa"/>
              <w:bottom w:w="110" w:type="dxa"/>
              <w:end w:w="120" w:type="dxa"/>
            </w:tcMar>
            <w:vAlign w:val="center"/>
          </w:tcPr>
          <w:p>
            <w:pPr>
              <w:jc w:val="center"/>
            </w:pPr>
            <w:r>
              <w:rPr>
                <w:rFonts w:ascii="Aptos" w:hAnsi="Aptos"/>
                <w:b/>
                <w:color w:val="FFFFFF"/>
                <w:sz w:val="18"/>
              </w:rPr>
              <w:t>Principio</w:t>
            </w:r>
          </w:p>
        </w:tc>
        <w:tc>
          <w:tcPr>
            <w:tcW w:type="dxa" w:w="6690"/>
            <w:shd w:fill="17365D"/>
            <w:tcMar>
              <w:top w:w="110" w:type="dxa"/>
              <w:start w:w="120" w:type="dxa"/>
              <w:bottom w:w="110" w:type="dxa"/>
              <w:end w:w="120" w:type="dxa"/>
            </w:tcMar>
            <w:vAlign w:val="center"/>
          </w:tcPr>
          <w:p>
            <w:pPr>
              <w:jc w:val="center"/>
            </w:pPr>
            <w:r>
              <w:rPr>
                <w:rFonts w:ascii="Aptos" w:hAnsi="Aptos"/>
                <w:b/>
                <w:color w:val="FFFFFF"/>
                <w:sz w:val="18"/>
              </w:rPr>
              <w:t>Aplicación en el servicio</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Estudio previo realizado y enfoque en ejecución</w:t>
            </w:r>
          </w:p>
        </w:tc>
        <w:tc>
          <w:tcPr>
            <w:tcW w:type="dxa" w:w="6690"/>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El estudio de las necesidades de las áreas ya fue realizado. La nueva OPS se concentra en ejecutar soluciones; únicamente se harán verificaciones técnicas puntuales cuando sean indispensables para una implementación segura y correcta.</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Modernización progresiva y ejecución continua</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La actualización, migración y sustitución de procesos y aplicaciones antiguas se ejecutará por etapas, preservando la continuidad operativa durante la transición.</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Desarrollo incluido para modernizar</w:t>
            </w:r>
          </w:p>
        </w:tc>
        <w:tc>
          <w:tcPr>
            <w:tcW w:type="dxa" w:w="6690"/>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La prestación incluye la programación y desarrollo de aplicaciones, módulos, integraciones, APIs, automatizaciones y demás componentes que sean necesarios para reemplazar o modernizar tecnologías heredadas.</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Interoperabilidad</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Las nuevas decisiones tecnológicas buscarán disminuir islas de información y facilitar integraciones futuras.</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Seguridad desde el diseño</w:t>
            </w:r>
          </w:p>
        </w:tc>
        <w:tc>
          <w:tcPr>
            <w:tcW w:type="dxa" w:w="6690"/>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Los accesos, permisos, trazabilidad, respaldo y tratamiento de información serán considerados desde el diseño y ejecución de cada iniciativa.</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Prioridad por valor</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Las actividades se ordenarán según impacto operativo, asistencial, riesgo, urgencia y beneficio esperado.</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Documentación y sostenibilidad</w:t>
            </w:r>
          </w:p>
        </w:tc>
        <w:tc>
          <w:tcPr>
            <w:tcW w:type="dxa" w:w="6690"/>
            <w:tcMar>
              <w:top w:w="105" w:type="dxa"/>
              <w:start w:w="120" w:type="dxa"/>
              <w:bottom w:w="105" w:type="dxa"/>
              <w:end w:w="120" w:type="dxa"/>
            </w:tcMar>
            <w:vAlign w:val="top"/>
          </w:tcPr>
          <w:p>
            <w:pPr>
              <w:spacing w:after="0"/>
            </w:pPr>
            <w:r>
              <w:rPr>
                <w:rFonts w:ascii="Aptos" w:hAnsi="Aptos"/>
                <w:color w:val="263238"/>
                <w:sz w:val="18"/>
              </w:rPr>
              <w:t>Las soluciones implementadas deberán quedar suficientemente documentadas para facilitar su soporte y evolución.</w:t>
            </w:r>
          </w:p>
        </w:tc>
      </w:tr>
    </w:tbl>
    <w:p>
      <w:pPr>
        <w:spacing w:after="80"/>
      </w:pPr>
    </w:p>
    <w:p>
      <w:pPr>
        <w:pStyle w:val="Heading1"/>
        <w:keepNext/>
      </w:pPr>
      <w:r>
        <w:t>6. Alcance general de los servicios profesionales</w:t>
      </w:r>
    </w:p>
    <w:p>
      <w:pPr>
        <w:spacing w:after="120" w:before="0" w:line="259" w:lineRule="auto"/>
      </w:pPr>
      <w:r>
        <w:rPr>
          <w:rFonts w:ascii="Aptos" w:hAnsi="Aptos"/>
          <w:b w:val="0"/>
          <w:i w:val="0"/>
          <w:color w:val="263238"/>
          <w:sz w:val="21"/>
        </w:rPr>
      </w:r>
      <w:r>
        <w:rPr>
          <w:rFonts w:ascii="Aptos" w:hAnsi="Aptos"/>
          <w:b w:val="0"/>
          <w:i w:val="0"/>
          <w:color w:val="263238"/>
          <w:sz w:val="21"/>
        </w:rPr>
        <w:t>El alcance corresponde a una prestación profesional integral orientada a ejecutar la modernización tecnológica de SERINTSA IPS. Las actividades se organizarán mediante priorización periódica tomando como base el estudio previo ya realizado. Las validaciones posteriores tendrán carácter técnico y puntual, únicamente para precisar la ejecución de cada solución. El servicio comprende, entre otras, las siguientes líneas de trabajo:</w:t>
      </w:r>
    </w:p>
    <w:p>
      <w:pPr>
        <w:pStyle w:val="Heading2"/>
        <w:keepNext/>
      </w:pPr>
      <w:r/>
      <w:r>
        <w:rPr/>
        <w:t>6.1 Ejecución de prioridades de modernización</w:t>
      </w:r>
    </w:p>
    <w:p>
      <w:pPr>
        <w:pStyle w:val="ListBullet"/>
        <w:spacing w:after="60" w:line="252" w:lineRule="auto"/>
      </w:pPr>
      <w:r>
        <w:rPr>
          <w:rFonts w:ascii="Aptos" w:hAnsi="Aptos"/>
          <w:color w:val="263238"/>
          <w:sz w:val="20"/>
        </w:rPr>
      </w:r>
      <w:r>
        <w:rPr>
          <w:rFonts w:ascii="Aptos" w:hAnsi="Aptos"/>
          <w:color w:val="263238"/>
          <w:sz w:val="20"/>
        </w:rPr>
        <w:t>Toma como punto de partida del estudio y levantamiento de necesidades ya realizado durante la contratación previa.</w:t>
      </w:r>
    </w:p>
    <w:p>
      <w:pPr>
        <w:pStyle w:val="ListBullet"/>
        <w:spacing w:after="60" w:line="252" w:lineRule="auto"/>
      </w:pPr>
      <w:r>
        <w:rPr>
          <w:rFonts w:ascii="Aptos" w:hAnsi="Aptos"/>
          <w:color w:val="263238"/>
          <w:sz w:val="20"/>
        </w:rPr>
      </w:r>
      <w:r>
        <w:rPr>
          <w:rFonts w:ascii="Aptos" w:hAnsi="Aptos"/>
          <w:color w:val="263238"/>
          <w:sz w:val="20"/>
        </w:rPr>
        <w:t>Selección y organización de las necesidades previamente identificadas para convertirlas en acciones concretas de modernización.</w:t>
      </w:r>
    </w:p>
    <w:p>
      <w:pPr>
        <w:pStyle w:val="ListBullet"/>
        <w:spacing w:after="60" w:line="252" w:lineRule="auto"/>
      </w:pPr>
      <w:r>
        <w:rPr>
          <w:rFonts w:ascii="Aptos" w:hAnsi="Aptos"/>
          <w:color w:val="263238"/>
          <w:sz w:val="20"/>
        </w:rPr>
      </w:r>
      <w:r>
        <w:rPr>
          <w:rFonts w:ascii="Aptos" w:hAnsi="Aptos"/>
          <w:color w:val="263238"/>
          <w:sz w:val="20"/>
        </w:rPr>
        <w:t>Priorización de procesos manuales, repetitivos, fragmentados y aplicaciones antiguas que deban ser intervenidos.</w:t>
      </w:r>
    </w:p>
    <w:p>
      <w:pPr>
        <w:pStyle w:val="ListBullet"/>
        <w:spacing w:after="60" w:line="252" w:lineRule="auto"/>
      </w:pPr>
      <w:r>
        <w:rPr>
          <w:rFonts w:ascii="Aptos" w:hAnsi="Aptos"/>
          <w:color w:val="263238"/>
          <w:sz w:val="20"/>
        </w:rPr>
      </w:r>
      <w:r>
        <w:rPr>
          <w:rFonts w:ascii="Aptos" w:hAnsi="Aptos"/>
          <w:color w:val="263238"/>
          <w:sz w:val="20"/>
        </w:rPr>
        <w:t>Validación puntual de dependencias técnicas, datos, accesos e integraciones únicamente cuando sea necesaria para ejecutar una actualización, migración, integración, sustitución o nuevo desarrollo.</w:t>
      </w:r>
    </w:p>
    <w:p>
      <w:pPr>
        <w:pStyle w:val="ListBullet"/>
        <w:spacing w:after="60" w:line="252" w:lineRule="auto"/>
      </w:pPr>
      <w:r>
        <w:rPr>
          <w:rFonts w:ascii="Aptos" w:hAnsi="Aptos"/>
          <w:color w:val="263238"/>
          <w:sz w:val="20"/>
        </w:rPr>
      </w:r>
      <w:r>
        <w:rPr>
          <w:rFonts w:ascii="Aptos" w:hAnsi="Aptos"/>
          <w:color w:val="263238"/>
          <w:sz w:val="20"/>
        </w:rPr>
        <w:t>Programación y ejecución progresiva de las iniciativas de modernización de acuerdo con criticidad, impacto y prioridad institucional.</w:t>
      </w:r>
    </w:p>
    <w:p>
      <w:pPr>
        <w:pStyle w:val="Heading2"/>
        <w:keepNext/>
      </w:pPr>
      <w:r>
        <w:t>6.2 Arquitectura, integración y modernización de sistemas</w:t>
      </w:r>
    </w:p>
    <w:p>
      <w:pPr>
        <w:pStyle w:val="ListBullet"/>
        <w:spacing w:after="60" w:line="252" w:lineRule="auto"/>
      </w:pPr>
      <w:r>
        <w:rPr>
          <w:rFonts w:ascii="Aptos" w:hAnsi="Aptos"/>
          <w:color w:val="263238"/>
          <w:sz w:val="20"/>
        </w:rPr>
      </w:r>
      <w:r>
        <w:rPr>
          <w:rFonts w:ascii="Aptos" w:hAnsi="Aptos"/>
          <w:color w:val="263238"/>
          <w:sz w:val="20"/>
        </w:rPr>
        <w:t>Revisión técnica específica de aplicaciones existentes, bases de datos, dependencias e interfaces para ejecutar su ruta de actualización o migración.</w:t>
      </w:r>
    </w:p>
    <w:p>
      <w:pPr>
        <w:pStyle w:val="ListBullet"/>
        <w:spacing w:after="60" w:line="252" w:lineRule="auto"/>
      </w:pPr>
      <w:r>
        <w:rPr>
          <w:rFonts w:ascii="Aptos" w:hAnsi="Aptos"/>
          <w:color w:val="263238"/>
          <w:sz w:val="20"/>
        </w:rPr>
        <w:t>Definición de alternativas de integración y transición entre plataformas antiguas y nuevas soluciones tecnológicas.</w:t>
      </w:r>
    </w:p>
    <w:p>
      <w:pPr>
        <w:pStyle w:val="ListBullet"/>
        <w:spacing w:after="60" w:line="252" w:lineRule="auto"/>
      </w:pPr>
      <w:r>
        <w:rPr>
          <w:rFonts w:ascii="Aptos" w:hAnsi="Aptos"/>
          <w:color w:val="263238"/>
          <w:sz w:val="20"/>
        </w:rPr>
        <w:t>Diseño de arquitecturas de software modernas, sostenibles, modulares y escalables para los procesos que sean priorizados.</w:t>
      </w:r>
    </w:p>
    <w:p>
      <w:pPr>
        <w:pStyle w:val="ListBullet"/>
        <w:spacing w:after="60" w:line="252" w:lineRule="auto"/>
      </w:pPr>
      <w:r>
        <w:rPr>
          <w:rFonts w:ascii="Aptos" w:hAnsi="Aptos"/>
          <w:color w:val="263238"/>
          <w:sz w:val="20"/>
        </w:rPr>
        <w:t>Planificación de migraciones graduales desde tecnologías heredadas hacia plataformas actuales, procurando continuidad operativa y control de riesgos.</w:t>
      </w:r>
    </w:p>
    <w:p>
      <w:pPr>
        <w:pStyle w:val="ListBullet"/>
        <w:spacing w:after="60" w:line="252" w:lineRule="auto"/>
      </w:pPr>
      <w:r>
        <w:rPr>
          <w:rFonts w:ascii="Aptos" w:hAnsi="Aptos"/>
          <w:color w:val="263238"/>
          <w:sz w:val="20"/>
        </w:rPr>
        <w:t>Diseño de mecanismos de sincronización, intercambio o consolidación de información según viabilidad técnica.</w:t>
      </w:r>
    </w:p>
    <w:p>
      <w:pPr>
        <w:pStyle w:val="Heading2"/>
        <w:keepNext/>
      </w:pPr>
      <w:r/>
      <w:r>
        <w:rPr/>
        <w:t>6.3 Desarrollo de software y automatización incluidos en la modernización</w:t>
      </w:r>
    </w:p>
    <w:p>
      <w:pPr>
        <w:pStyle w:val="ListBullet"/>
        <w:spacing w:after="60" w:line="252" w:lineRule="auto"/>
      </w:pPr>
      <w:r>
        <w:rPr>
          <w:rFonts w:ascii="Aptos" w:hAnsi="Aptos"/>
          <w:color w:val="263238"/>
          <w:sz w:val="20"/>
        </w:rPr>
      </w:r>
      <w:r>
        <w:rPr>
          <w:rFonts w:ascii="Aptos" w:hAnsi="Aptos"/>
          <w:color w:val="263238"/>
          <w:sz w:val="20"/>
        </w:rPr>
        <w:t>Diseño, programación y construcción de cualquier solución de software que resulte necesaria para cumplir los objetivos de modernización definidos a partir del estudio previo.</w:t>
      </w:r>
    </w:p>
    <w:p>
      <w:pPr>
        <w:pStyle w:val="ListBullet"/>
        <w:spacing w:after="60" w:line="252" w:lineRule="auto"/>
      </w:pPr>
      <w:r>
        <w:rPr>
          <w:rFonts w:ascii="Aptos" w:hAnsi="Aptos"/>
          <w:color w:val="263238"/>
          <w:sz w:val="20"/>
        </w:rPr>
      </w:r>
      <w:r>
        <w:rPr>
          <w:rFonts w:ascii="Aptos" w:hAnsi="Aptos"/>
          <w:color w:val="263238"/>
          <w:sz w:val="20"/>
        </w:rPr>
        <w:t>Automatización de tareas, flujos e intercambios de información que actualmente generen reprocesos, demoras, duplicidad o dependencia de procedimientos manuales.</w:t>
      </w:r>
    </w:p>
    <w:p>
      <w:pPr>
        <w:pStyle w:val="ListBullet"/>
        <w:spacing w:after="60" w:line="252" w:lineRule="auto"/>
      </w:pPr>
      <w:r>
        <w:rPr>
          <w:rFonts w:ascii="Aptos" w:hAnsi="Aptos"/>
          <w:color w:val="263238"/>
          <w:sz w:val="20"/>
        </w:rPr>
      </w:r>
      <w:r>
        <w:rPr>
          <w:rFonts w:ascii="Aptos" w:hAnsi="Aptos"/>
          <w:color w:val="263238"/>
          <w:sz w:val="20"/>
        </w:rPr>
        <w:t>Desarrollo de nuevas aplicaciones o componentes para reemplazar progresivamente herramientas antiguas cuando su tecnología limite la operación, integración, seguridad, mantenimiento o evolución institucional.</w:t>
      </w:r>
    </w:p>
    <w:p>
      <w:pPr>
        <w:pStyle w:val="ListBullet"/>
        <w:spacing w:after="60" w:line="252" w:lineRule="auto"/>
      </w:pPr>
      <w:r>
        <w:rPr>
          <w:rFonts w:ascii="Aptos" w:hAnsi="Aptos"/>
          <w:color w:val="263238"/>
          <w:sz w:val="20"/>
        </w:rPr>
      </w:r>
      <w:r>
        <w:rPr>
          <w:rFonts w:ascii="Aptos" w:hAnsi="Aptos"/>
          <w:color w:val="263238"/>
          <w:sz w:val="20"/>
        </w:rPr>
        <w:t>Desarrollo de aplicaciones web, módulos, componentes, APIs, integraciones, servicios, reportes, utilidades, scripts y demás elementos de software requeridos para ejecutar la modernización.</w:t>
      </w:r>
    </w:p>
    <w:p>
      <w:pPr>
        <w:pStyle w:val="ListBullet"/>
        <w:spacing w:after="60" w:line="252" w:lineRule="auto"/>
      </w:pPr>
      <w:r>
        <w:rPr>
          <w:rFonts w:ascii="Aptos" w:hAnsi="Aptos"/>
          <w:color w:val="263238"/>
          <w:sz w:val="20"/>
        </w:rPr>
      </w:r>
      <w:r>
        <w:rPr>
          <w:rFonts w:ascii="Aptos" w:hAnsi="Aptos"/>
          <w:color w:val="263238"/>
          <w:sz w:val="20"/>
        </w:rPr>
        <w:t>Realización de pruebas, correcciones, ajustes, documentación, despliegue, implementación y acompañamiento en la puesta en operación de los desarrollos realizados.</w:t>
      </w:r>
    </w:p>
    <w:p>
      <w:pPr>
        <w:pStyle w:val="Heading2"/>
        <w:keepNext/>
      </w:pPr>
      <w:r>
        <w:t>6.4 Gestión de datos e información</w:t>
      </w:r>
    </w:p>
    <w:p>
      <w:pPr>
        <w:pStyle w:val="ListBullet"/>
        <w:spacing w:after="60" w:line="252" w:lineRule="auto"/>
      </w:pPr>
      <w:r>
        <w:rPr>
          <w:rFonts w:ascii="Aptos" w:hAnsi="Aptos"/>
          <w:color w:val="263238"/>
          <w:sz w:val="20"/>
        </w:rPr>
        <w:t>Revisión de estructuras de datos y calidad de información en procesos priorizados.</w:t>
      </w:r>
    </w:p>
    <w:p>
      <w:pPr>
        <w:pStyle w:val="ListBullet"/>
        <w:spacing w:after="60" w:line="252" w:lineRule="auto"/>
      </w:pPr>
      <w:r>
        <w:rPr>
          <w:rFonts w:ascii="Aptos" w:hAnsi="Aptos"/>
          <w:color w:val="263238"/>
          <w:sz w:val="20"/>
        </w:rPr>
        <w:t>Diseño y ejecución de estrategias de migración, depuración, consolidación y respaldo de información necesarias para trasladar procesos hacia soluciones modernas.</w:t>
      </w:r>
    </w:p>
    <w:p>
      <w:pPr>
        <w:pStyle w:val="ListBullet"/>
        <w:spacing w:after="60" w:line="252" w:lineRule="auto"/>
      </w:pPr>
      <w:r>
        <w:rPr>
          <w:rFonts w:ascii="Aptos" w:hAnsi="Aptos"/>
          <w:color w:val="263238"/>
          <w:sz w:val="20"/>
        </w:rPr>
        <w:t>Diseño de reportes, consultas o mecanismos de explotación de información que apoyen la gestión.</w:t>
      </w:r>
    </w:p>
    <w:p>
      <w:pPr>
        <w:pStyle w:val="ListBullet"/>
        <w:spacing w:after="60" w:line="252" w:lineRule="auto"/>
      </w:pPr>
      <w:r>
        <w:rPr>
          <w:rFonts w:ascii="Aptos" w:hAnsi="Aptos"/>
          <w:color w:val="263238"/>
          <w:sz w:val="20"/>
        </w:rPr>
        <w:t>Definición de controles básicos de acceso, trazabilidad y consistencia de datos.</w:t>
      </w:r>
    </w:p>
    <w:p>
      <w:pPr>
        <w:pStyle w:val="Heading2"/>
        <w:keepNext/>
      </w:pPr>
      <w:r>
        <w:t>6.5 Soporte tecnológico e infraestructura de usuario</w:t>
      </w:r>
    </w:p>
    <w:p>
      <w:pPr>
        <w:pStyle w:val="ListBullet"/>
        <w:spacing w:after="60" w:line="252" w:lineRule="auto"/>
      </w:pPr>
      <w:r>
        <w:rPr>
          <w:rFonts w:ascii="Aptos" w:hAnsi="Aptos"/>
          <w:b w:val="0"/>
          <w:color w:val="263238"/>
          <w:sz w:val="21"/>
        </w:rPr>
        <w:t>Atención y seguimiento de incidentes relacionados con equipos de cómputo, impresoras, periféricos, software institucional y conectividad de usuario, incluyendo el acompañamiento sobre TNS en los procesos de facturación y contabilidad.</w:t>
      </w:r>
    </w:p>
    <w:p>
      <w:pPr>
        <w:pStyle w:val="ListBullet"/>
        <w:spacing w:after="60" w:line="252" w:lineRule="auto"/>
      </w:pPr>
      <w:r>
        <w:rPr>
          <w:rFonts w:ascii="Aptos" w:hAnsi="Aptos"/>
          <w:color w:val="263238"/>
          <w:sz w:val="20"/>
        </w:rPr>
        <w:t>Diagnóstico y solución de requerimientos dentro del alcance técnico disponible.</w:t>
      </w:r>
    </w:p>
    <w:p>
      <w:pPr>
        <w:pStyle w:val="ListBullet"/>
        <w:spacing w:after="60" w:line="252" w:lineRule="auto"/>
      </w:pPr>
      <w:r>
        <w:rPr>
          <w:rFonts w:ascii="Aptos" w:hAnsi="Aptos"/>
          <w:color w:val="263238"/>
          <w:sz w:val="20"/>
        </w:rPr>
        <w:t>Escalamiento documentado de fallas que requieran repuestos, garantías, proveedores o servicios especializados.</w:t>
      </w:r>
    </w:p>
    <w:p>
      <w:pPr>
        <w:pStyle w:val="ListBullet"/>
        <w:spacing w:after="60" w:line="252" w:lineRule="auto"/>
      </w:pPr>
      <w:r>
        <w:rPr>
          <w:rFonts w:ascii="Aptos" w:hAnsi="Aptos"/>
          <w:color w:val="263238"/>
          <w:sz w:val="20"/>
        </w:rPr>
        <w:t>Apoyo en organización del inventario y trazabilidad de activos tecnológicos, cuando sea priorizado.</w:t>
      </w:r>
    </w:p>
    <w:p>
      <w:pPr>
        <w:pStyle w:val="Heading2"/>
        <w:keepNext/>
      </w:pPr>
      <w:r>
        <w:t>6.6 Documentación, capacitación y acompañamiento</w:t>
      </w:r>
    </w:p>
    <w:p>
      <w:pPr>
        <w:pStyle w:val="ListBullet"/>
        <w:spacing w:after="60" w:line="252" w:lineRule="auto"/>
      </w:pPr>
      <w:r>
        <w:rPr>
          <w:rFonts w:ascii="Aptos" w:hAnsi="Aptos"/>
          <w:color w:val="263238"/>
          <w:sz w:val="20"/>
        </w:rPr>
        <w:t>Documentación funcional y técnica de las soluciones implementadas.</w:t>
      </w:r>
    </w:p>
    <w:p>
      <w:pPr>
        <w:pStyle w:val="ListBullet"/>
        <w:spacing w:after="60" w:line="252" w:lineRule="auto"/>
      </w:pPr>
      <w:r>
        <w:rPr>
          <w:rFonts w:ascii="Aptos" w:hAnsi="Aptos"/>
          <w:color w:val="263238"/>
          <w:sz w:val="20"/>
        </w:rPr>
        <w:t>Elaboración de guías o procedimientos cuando sean necesarios para la adopción de cambios.</w:t>
      </w:r>
    </w:p>
    <w:p>
      <w:pPr>
        <w:pStyle w:val="ListBullet"/>
        <w:spacing w:after="60" w:line="252" w:lineRule="auto"/>
      </w:pPr>
      <w:r>
        <w:rPr>
          <w:rFonts w:ascii="Aptos" w:hAnsi="Aptos"/>
          <w:color w:val="263238"/>
          <w:sz w:val="20"/>
        </w:rPr>
        <w:t>Capacitación básica a usuarios sobre herramientas o procesos modificados.</w:t>
      </w:r>
    </w:p>
    <w:p>
      <w:pPr>
        <w:pStyle w:val="ListBullet"/>
        <w:spacing w:after="60" w:line="252" w:lineRule="auto"/>
      </w:pPr>
      <w:r>
        <w:rPr>
          <w:rFonts w:ascii="Aptos" w:hAnsi="Aptos"/>
          <w:color w:val="263238"/>
          <w:sz w:val="20"/>
        </w:rPr>
        <w:t>Acompañamiento durante estabilización, seguimiento y mejora continua.</w:t>
      </w:r>
    </w:p>
    <w:p>
      <w:pPr>
        <w:pStyle w:val="Heading1"/>
        <w:keepNext/>
      </w:pPr>
      <w:r>
        <w:t>7. Frentes de modernización previamente identificados</w:t>
      </w:r>
    </w:p>
    <w:p>
      <w:pPr>
        <w:spacing w:after="120" w:before="0" w:line="259" w:lineRule="auto"/>
      </w:pPr>
      <w:r>
        <w:rPr>
          <w:rFonts w:ascii="Aptos" w:hAnsi="Aptos"/>
          <w:b w:val="0"/>
          <w:i w:val="0"/>
          <w:color w:val="263238"/>
          <w:sz w:val="21"/>
        </w:rPr>
      </w:r>
      <w:r>
        <w:rPr>
          <w:rFonts w:ascii="Aptos" w:hAnsi="Aptos"/>
          <w:b w:val="0"/>
          <w:i w:val="0"/>
          <w:color w:val="263238"/>
          <w:sz w:val="21"/>
        </w:rPr>
        <w:t>El estudio realizado durante la contratación previa permitió identificar los siguientes componentes como frentes relevantes de modernización. En esta nueva etapa el propósito será ejecutar las soluciones necesarias sobre estos y otros procesos priorizados, realizando únicamente las verificaciones técnicas indispensables para su implementación.</w:t>
      </w:r>
    </w:p>
    <w:p>
      <w:pPr>
        <w:pStyle w:val="Heading2"/>
        <w:keepNext/>
      </w:pPr>
      <w:r>
        <w:t>7.1 Modernización de ASIS y aplicaciones heredadas</w:t>
      </w:r>
    </w:p>
    <w:p>
      <w:pPr>
        <w:spacing w:after="120" w:before="0" w:line="259" w:lineRule="auto"/>
      </w:pPr>
      <w:r>
        <w:rPr>
          <w:rFonts w:ascii="Aptos" w:hAnsi="Aptos"/>
          <w:b w:val="0"/>
          <w:i w:val="0"/>
          <w:color w:val="263238"/>
          <w:sz w:val="21"/>
        </w:rPr>
      </w:r>
      <w:r>
        <w:rPr>
          <w:rFonts w:ascii="Aptos" w:hAnsi="Aptos"/>
          <w:b w:val="0"/>
          <w:i w:val="0"/>
          <w:color w:val="263238"/>
          <w:sz w:val="21"/>
        </w:rPr>
        <w:t>Con base en el conocimiento adquirido durante el estudio previo sobre ASIS y sus dependencias en los procesos de citas, historias clínicas y atención, se ejecutará progresivamente una ruta de modernización orientada a trasladar procesos, datos y funcionalidades hacia tecnologías modernas, especialmente soluciones web e integrables. Para ello se realizarán los desarrollos de software necesarios para reducir de forma controlada la dependencia de Microsoft Access y de otros componentes antiguos del ecosistema actual.</w:t>
      </w:r>
    </w:p>
    <w:tbl>
      <w:tblPr>
        <w:tblW w:type="auto" w:w="0"/>
        <w:jc w:val="center"/>
        <w:tblLayout w:type="fixed"/>
        <w:tblLook w:firstColumn="1" w:firstRow="1" w:lastColumn="0" w:lastRow="0" w:noHBand="0" w:noVBand="1" w:val="04A0"/>
      </w:tblPr>
      <w:tblGrid>
        <w:gridCol w:w="198"/>
        <w:gridCol w:w="8844"/>
      </w:tblGrid>
      <w:tr>
        <w:trPr>
          <w:cantSplit/>
        </w:trPr>
        <w:tc>
          <w:tcPr>
            <w:tcW w:type="dxa" w:w="198"/>
            <w:shd w:fill="2F75B5"/>
            <w:tcMar>
              <w:top w:w="0" w:type="dxa"/>
              <w:start w:w="0" w:type="dxa"/>
              <w:bottom w:w="0" w:type="dxa"/>
              <w:end w:w="0" w:type="dxa"/>
            </w:tcMar>
          </w:tcPr>
          <w:p/>
        </w:tc>
        <w:tc>
          <w:tcPr>
            <w:tcW w:type="dxa" w:w="8844"/>
            <w:shd w:fill="F3F7FB"/>
            <w:tcMar>
              <w:top w:w="140" w:type="dxa"/>
              <w:start w:w="180" w:type="dxa"/>
              <w:bottom w:w="140" w:type="dxa"/>
              <w:end w:w="180" w:type="dxa"/>
            </w:tcMar>
          </w:tcPr>
          <w:p>
            <w:pPr>
              <w:spacing w:after="60"/>
            </w:pPr>
            <w:r>
              <w:rPr>
                <w:rFonts w:ascii="Aptos" w:hAnsi="Aptos"/>
                <w:b/>
                <w:color w:val="17365D"/>
                <w:sz w:val="21"/>
              </w:rPr>
              <w:t>Enfoque de transición</w:t>
            </w:r>
          </w:p>
          <w:p>
            <w:pPr>
              <w:spacing w:after="0" w:line="252" w:lineRule="auto"/>
            </w:pPr>
            <w:r>
              <w:rPr>
                <w:rFonts w:ascii="Aptos" w:hAnsi="Aptos"/>
                <w:color w:val="263238"/>
                <w:sz w:val="20"/>
              </w:rPr>
              <w:t>El objetivo es reducir progresivamente la dependencia de ASIS, Microsoft Access y otros componentes antiguos, trasladando funciones y datos hacia tecnologías modernas mediante una transición planificada que preserve la continuidad de los procesos asistenciales y administrativos.</w:t>
            </w:r>
          </w:p>
        </w:tc>
      </w:tr>
    </w:tbl>
    <w:p>
      <w:pPr>
        <w:spacing w:after="40"/>
      </w:pPr>
    </w:p>
    <w:p>
      <w:pPr>
        <w:pStyle w:val="Heading2"/>
        <w:keepNext/>
      </w:pPr>
      <w:r>
        <w:t>7.2 Procesos de laboratorio</w:t>
      </w:r>
    </w:p>
    <w:p>
      <w:pPr>
        <w:spacing w:after="120" w:before="0" w:line="259" w:lineRule="auto"/>
      </w:pPr>
      <w:r>
        <w:rPr>
          <w:rFonts w:ascii="Aptos" w:hAnsi="Aptos"/>
          <w:b w:val="0"/>
          <w:i w:val="0"/>
          <w:color w:val="263238"/>
          <w:sz w:val="21"/>
        </w:rPr>
      </w:r>
      <w:r>
        <w:rPr>
          <w:rFonts w:ascii="Aptos" w:hAnsi="Aptos"/>
          <w:b w:val="0"/>
          <w:i w:val="0"/>
          <w:color w:val="263238"/>
          <w:sz w:val="21"/>
        </w:rPr>
        <w:t>Los procesos de generación, validación, almacenamiento, consulta y entrega de resultados de laboratorio fueron analizados durante la contratación previa, incluyendo el uso de herramientas locales antiguas y tareas manuales. La nueva etapa estará orientada a ejecutar acciones de digitalización y modernización que reduzcan reprocesos, disminuyan la dependencia de programas obsoletos y faciliten la integración con el ecosistema tecnológico institucional.</w:t>
      </w:r>
    </w:p>
    <w:p>
      <w:pPr>
        <w:spacing w:after="120" w:before="0" w:line="259" w:lineRule="auto"/>
      </w:pPr>
      <w:r>
        <w:rPr>
          <w:rFonts w:ascii="Aptos" w:hAnsi="Aptos"/>
          <w:b w:val="0"/>
          <w:i w:val="0"/>
          <w:color w:val="263238"/>
          <w:sz w:val="21"/>
        </w:rPr>
      </w:r>
      <w:r>
        <w:rPr>
          <w:rFonts w:ascii="Aptos" w:hAnsi="Aptos"/>
          <w:b w:val="0"/>
          <w:i w:val="0"/>
          <w:color w:val="263238"/>
          <w:sz w:val="21"/>
        </w:rPr>
        <w:t>A partir del estudio ya adelantado con el personal del área, se ejecutarán las acciones de modernización que correspondan, incluyendo rediseño de procesos, migración de información, automatización, integración con otros sistemas, sustitución progresiva de herramientas antiguas y desarrollo de nuevas soluciones cuando sean necesarias. Las verificaciones adicionales se limitarán a las dependencias técnicas y funcionales indispensables para implementar correctamente cada intervención.</w:t>
      </w:r>
    </w:p>
    <w:p>
      <w:pPr>
        <w:pStyle w:val="Heading2"/>
        <w:keepNext/>
      </w:pPr>
      <w:r>
        <w:t>7.3 Mesa de ayuda y soporte tecnológico</w:t>
      </w:r>
    </w:p>
    <w:p>
      <w:pPr>
        <w:spacing w:after="120" w:before="0" w:line="259" w:lineRule="auto"/>
      </w:pPr>
      <w:r>
        <w:rPr>
          <w:rFonts w:ascii="Aptos" w:hAnsi="Aptos"/>
          <w:b w:val="0"/>
          <w:i w:val="0"/>
          <w:color w:val="263238"/>
          <w:sz w:val="21"/>
        </w:rPr>
        <w:t>SERINTSA IPS dispone de una mesa de ayuda desarrollada en PHP bajo entorno web. Esta herramienta se utilizará para organizar y dar trazabilidad a los requerimientos de soporte tecnológico y, dentro de la estrategia general de modernización, podrá actualizarse técnica y funcionalmente cuando se identifiquen necesidades de seguridad, integración, usabilidad, mantenimiento o nuevas capacidades.</w:t>
      </w:r>
    </w:p>
    <w:p>
      <w:pPr>
        <w:spacing w:after="120" w:before="0" w:line="259" w:lineRule="auto"/>
      </w:pPr>
      <w:r>
        <w:rPr>
          <w:rFonts w:ascii="Aptos" w:hAnsi="Aptos"/>
          <w:b w:val="0"/>
          <w:i w:val="0"/>
          <w:color w:val="263238"/>
          <w:sz w:val="21"/>
        </w:rPr>
        <w:t>La atención podrá comprender incidentes sobre computadores, impresoras, periféricos, software y conectividad de usuario, con registro, seguimiento, documentación de solución y escalamiento cuando se requiera intervención de terceros.</w:t>
      </w:r>
    </w:p>
    <w:p>
      <w:pPr>
        <w:pStyle w:val="Heading2"/>
        <w:spacing w:after="100" w:line="259" w:lineRule="auto"/>
        <w:keepNext/>
      </w:pPr>
      <w:r>
        <w:rPr>
          <w:rFonts w:ascii="Aptos Display" w:hAnsi="Aptos Display"/>
          <w:b/>
          <w:color w:val="2F75B5"/>
          <w:sz w:val="24"/>
        </w:rPr>
        <w:t>7.4 Soporte al software TNS - facturación y contabilidad</w:t>
      </w:r>
    </w:p>
    <w:p>
      <w:pPr>
        <w:spacing w:after="120" w:line="259" w:lineRule="auto"/>
      </w:pPr>
      <w:r>
        <w:rPr>
          <w:rFonts w:ascii="Aptos" w:hAnsi="Aptos"/>
          <w:b w:val="0"/>
          <w:color w:val="263238"/>
          <w:sz w:val="21"/>
        </w:rPr>
        <w:t>Como parte de la prestación se brindará acompañamiento técnico a las áreas de facturación y contabilidad en relación con el software TNS actualmente utilizado por la institución. El soporte estará orientado a la atención de requerimientos de usuario, revisión inicial de incidentes, configuración dentro de los permisos disponibles, identificación de causas, apoyo en la operación y coordinación de soluciones que permitan mantener la continuidad de los procesos administrativos.</w:t>
      </w:r>
    </w:p>
    <w:p>
      <w:pPr>
        <w:spacing w:after="120" w:line="259" w:lineRule="auto"/>
      </w:pPr>
      <w:r>
        <w:rPr>
          <w:rFonts w:ascii="Aptos" w:hAnsi="Aptos"/>
          <w:b w:val="0"/>
          <w:color w:val="263238"/>
          <w:sz w:val="21"/>
        </w:rPr>
        <w:t>Cuando una incidencia dependa de componentes internos del producto, licenciamiento, actualizaciones del fabricante, modificaciones propietarias o servicios especializados que excedan el acceso disponible, se realizará el diagnóstico inicial, la documentación del caso y el escalamiento o coordinación con el proveedor correspondiente.</w:t>
      </w:r>
    </w:p>
    <w:p>
      <w:pPr>
        <w:pStyle w:val="Heading2"/>
        <w:spacing w:after="100" w:line="259" w:lineRule="auto"/>
        <w:keepNext/>
      </w:pPr>
      <w:r>
        <w:rPr>
          <w:rFonts w:ascii="Aptos Display" w:hAnsi="Aptos Display"/>
          <w:b/>
          <w:color w:val="2F75B5"/>
          <w:sz w:val="24"/>
        </w:rPr>
        <w:t>7.5 Cobertura de sedes</w:t>
      </w:r>
    </w:p>
    <w:p>
      <w:pPr>
        <w:spacing w:after="120" w:line="259" w:lineRule="auto"/>
      </w:pPr>
      <w:r>
        <w:rPr>
          <w:rFonts w:ascii="Aptos" w:hAnsi="Aptos"/>
          <w:b w:val="0"/>
          <w:color w:val="263238"/>
          <w:sz w:val="21"/>
        </w:rPr>
        <w:t>El servicio tendrá cobertura sobre los requerimientos tecnológicos de la sede principal de SERINTSA IPS y de las sedes Farmaserintsa y CABE. La sede CABE corresponde a la operación ubicada en las instalaciones del Hospital de Ecopetrol. La atención se coordinará de acuerdo con la naturaleza y prioridad del requerimiento, utilizando soporte remoto cuando sea suficiente y desplazamiento presencial cuando la intervención requiera atención física en la sede correspondiente.</w:t>
      </w:r>
    </w:p>
    <w:p>
      <w:pPr>
        <w:pStyle w:val="Heading1"/>
        <w:keepNext/>
      </w:pPr>
      <w:r>
        <w:t>8. Metodología de trabajo</w:t>
      </w:r>
    </w:p>
    <w:p>
      <w:pPr>
        <w:spacing w:after="120" w:before="0" w:line="259" w:lineRule="auto"/>
      </w:pPr>
      <w:r>
        <w:rPr>
          <w:rFonts w:ascii="Aptos" w:hAnsi="Aptos"/>
          <w:b w:val="0"/>
          <w:i w:val="0"/>
          <w:color w:val="263238"/>
          <w:sz w:val="21"/>
        </w:rPr>
      </w:r>
      <w:r>
        <w:rPr>
          <w:rFonts w:ascii="Aptos" w:hAnsi="Aptos"/>
          <w:b w:val="0"/>
          <w:i w:val="0"/>
          <w:color w:val="263238"/>
          <w:sz w:val="21"/>
        </w:rPr>
        <w:t>La metodología parte del estudio previamente realizado y concentra esta nueva etapa en la ejecución. El trabajo se organizará en ciclos de priorización, diseño técnico, desarrollo, migración, integración, pruebas, implementación y evolución. No se repetirá el diagnóstico de las áreas; únicamente se efectuarán verificaciones puntuales cuando sean necesarias para ejecutar de forma segura una solución.</w:t>
      </w:r>
    </w:p>
    <w:tbl>
      <w:tblPr>
        <w:tblStyle w:val="TableGrid"/>
        <w:tblW w:type="auto" w:w="0"/>
        <w:jc w:val="center"/>
        <w:tblLayout w:type="fixed"/>
        <w:tblLook w:firstColumn="1" w:firstRow="1" w:lastColumn="0" w:lastRow="0" w:noHBand="0" w:noVBand="1" w:val="04A0"/>
      </w:tblPr>
      <w:tblGrid>
        <w:gridCol w:w="3118"/>
        <w:gridCol w:w="3118"/>
        <w:gridCol w:w="3118"/>
      </w:tblGrid>
      <w:tr>
        <w:trPr>
          <w:tblHeader w:val="true"/>
          <w:cantSplit/>
        </w:trPr>
        <w:tc>
          <w:tcPr>
            <w:tcW w:type="dxa" w:w="1701"/>
            <w:shd w:fill="17365D"/>
            <w:tcMar>
              <w:top w:w="110" w:type="dxa"/>
              <w:start w:w="120" w:type="dxa"/>
              <w:bottom w:w="110" w:type="dxa"/>
              <w:end w:w="120" w:type="dxa"/>
            </w:tcMar>
            <w:vAlign w:val="center"/>
          </w:tcPr>
          <w:p>
            <w:pPr>
              <w:jc w:val="center"/>
            </w:pPr>
            <w:r>
              <w:rPr>
                <w:rFonts w:ascii="Aptos" w:hAnsi="Aptos"/>
                <w:b/>
                <w:color w:val="FFFFFF"/>
                <w:sz w:val="18"/>
              </w:rPr>
              <w:t>Etapa</w:t>
            </w:r>
          </w:p>
        </w:tc>
        <w:tc>
          <w:tcPr>
            <w:tcW w:type="dxa" w:w="3969"/>
            <w:shd w:fill="17365D"/>
            <w:tcMar>
              <w:top w:w="110" w:type="dxa"/>
              <w:start w:w="120" w:type="dxa"/>
              <w:bottom w:w="110" w:type="dxa"/>
              <w:end w:w="120" w:type="dxa"/>
            </w:tcMar>
            <w:vAlign w:val="center"/>
          </w:tcPr>
          <w:p>
            <w:pPr>
              <w:jc w:val="center"/>
            </w:pPr>
            <w:r>
              <w:rPr>
                <w:rFonts w:ascii="Aptos" w:hAnsi="Aptos"/>
                <w:b/>
                <w:color w:val="FFFFFF"/>
                <w:sz w:val="18"/>
              </w:rPr>
              <w:t>Propósito</w:t>
            </w:r>
          </w:p>
        </w:tc>
        <w:tc>
          <w:tcPr>
            <w:tcW w:type="dxa" w:w="3402"/>
            <w:shd w:fill="17365D"/>
            <w:tcMar>
              <w:top w:w="110" w:type="dxa"/>
              <w:start w:w="120" w:type="dxa"/>
              <w:bottom w:w="110" w:type="dxa"/>
              <w:end w:w="120" w:type="dxa"/>
            </w:tcMar>
            <w:vAlign w:val="center"/>
          </w:tcPr>
          <w:p>
            <w:pPr>
              <w:jc w:val="center"/>
            </w:pPr>
            <w:r>
              <w:rPr>
                <w:rFonts w:ascii="Aptos" w:hAnsi="Aptos"/>
                <w:b/>
                <w:color w:val="FFFFFF"/>
                <w:sz w:val="18"/>
              </w:rPr>
              <w:t>Resultado esperado</w:t>
            </w:r>
          </w:p>
        </w:tc>
      </w:tr>
      <w:tr>
        <w:trPr>
          <w:cantSplit/>
        </w:trPr>
        <w:tc>
          <w:tcPr>
            <w:tcW w:type="dxa" w:w="1701"/>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1. Priorización de soluciones</w:t>
            </w:r>
          </w:p>
        </w:tc>
        <w:tc>
          <w:tcPr>
            <w:tcW w:type="dxa" w:w="3969"/>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Ordenar las necesidades y soluciones identificadas durante el estudio previo de acuerdo con impacto, urgencia y dependencia.</w:t>
            </w:r>
          </w:p>
        </w:tc>
        <w:tc>
          <w:tcPr>
            <w:tcW w:type="dxa" w:w="3402"/>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Iniciativas de modernización priorizadas para ejecución.</w:t>
            </w:r>
          </w:p>
        </w:tc>
      </w:tr>
      <w:tr>
        <w:trPr>
          <w:cantSplit/>
        </w:trPr>
        <w:tc>
          <w:tcPr>
            <w:tcW w:type="dxa" w:w="1701"/>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2. Diseño técnico y planificación</w:t>
            </w:r>
          </w:p>
        </w:tc>
        <w:tc>
          <w:tcPr>
            <w:tcW w:type="dxa" w:w="3969"/>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Definir arquitectura, datos, integraciones, estrategia de migración y componentes de software necesarios.</w:t>
            </w:r>
          </w:p>
        </w:tc>
        <w:tc>
          <w:tcPr>
            <w:tcW w:type="dxa" w:w="3402"/>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Plan técnico y alcance de ejecución definido.</w:t>
            </w:r>
          </w:p>
        </w:tc>
      </w:tr>
      <w:tr>
        <w:trPr>
          <w:cantSplit/>
        </w:trPr>
        <w:tc>
          <w:tcPr>
            <w:tcW w:type="dxa" w:w="1701"/>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3. Desarrollo y modernización</w:t>
            </w:r>
          </w:p>
        </w:tc>
        <w:tc>
          <w:tcPr>
            <w:tcW w:type="dxa" w:w="3969"/>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Programar, actualizar, automatizar o construir las soluciones necesarias para modernizar el proceso priorizado.</w:t>
            </w:r>
          </w:p>
        </w:tc>
        <w:tc>
          <w:tcPr>
            <w:tcW w:type="dxa" w:w="3402"/>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Desarrollo o actualización funcional lista para integración y pruebas.</w:t>
            </w:r>
          </w:p>
        </w:tc>
      </w:tr>
      <w:tr>
        <w:trPr>
          <w:cantSplit/>
        </w:trPr>
        <w:tc>
          <w:tcPr>
            <w:tcW w:type="dxa" w:w="1701"/>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4. Integración y migración</w:t>
            </w:r>
          </w:p>
        </w:tc>
        <w:tc>
          <w:tcPr>
            <w:tcW w:type="dxa" w:w="3969"/>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Integrar sistemas, migrar datos y preparar la transición desde las aplicaciones o procesos antiguos.</w:t>
            </w:r>
          </w:p>
        </w:tc>
        <w:tc>
          <w:tcPr>
            <w:tcW w:type="dxa" w:w="3402"/>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Solución integrada y datos preparados para puesta en operación.</w:t>
            </w:r>
          </w:p>
        </w:tc>
      </w:tr>
      <w:tr>
        <w:trPr>
          <w:cantSplit/>
        </w:trPr>
        <w:tc>
          <w:tcPr>
            <w:tcW w:type="dxa" w:w="1701"/>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5. Pruebas e implementación</w:t>
            </w:r>
          </w:p>
        </w:tc>
        <w:tc>
          <w:tcPr>
            <w:tcW w:type="dxa" w:w="3969"/>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Realizar pruebas funcionales y técnicas, corregir hallazgos y poner la solución en operación.</w:t>
            </w:r>
          </w:p>
        </w:tc>
        <w:tc>
          <w:tcPr>
            <w:tcW w:type="dxa" w:w="3402"/>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Solución moderna implementada y estabilizada.</w:t>
            </w:r>
          </w:p>
        </w:tc>
      </w:tr>
      <w:tr>
        <w:trPr>
          <w:cantSplit/>
        </w:trPr>
        <w:tc>
          <w:tcPr>
            <w:tcW w:type="dxa" w:w="1701"/>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6. Evolución y siguiente iniciativa</w:t>
            </w:r>
          </w:p>
        </w:tc>
        <w:tc>
          <w:tcPr>
            <w:tcW w:type="dxa" w:w="3969"/>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Retirar progresivamente dependencias antiguas, realizar ajustes y continuar con la siguiente prioridad.</w:t>
            </w:r>
          </w:p>
        </w:tc>
        <w:tc>
          <w:tcPr>
            <w:tcW w:type="dxa" w:w="3402"/>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Continuidad del programa de modernización tecnológica.</w:t>
            </w:r>
          </w:p>
        </w:tc>
      </w:tr>
    </w:tbl>
    <w:p>
      <w:pPr>
        <w:spacing w:after="80"/>
      </w:pPr>
    </w:p>
    <w:p>
      <w:pPr>
        <w:pStyle w:val="Heading1"/>
        <w:keepNext/>
      </w:pPr>
      <w:r>
        <w:t>9. Gestión de prioridades y gobierno del servicio</w:t>
      </w:r>
    </w:p>
    <w:p>
      <w:pPr>
        <w:spacing w:after="120" w:before="0" w:line="259" w:lineRule="auto"/>
      </w:pPr>
      <w:r>
        <w:rPr>
          <w:rFonts w:ascii="Aptos" w:hAnsi="Aptos"/>
          <w:b w:val="0"/>
          <w:i w:val="0"/>
          <w:color w:val="263238"/>
          <w:sz w:val="21"/>
        </w:rPr>
        <w:t>Para mantener el alcance de la OPS alineado con las necesidades institucionales, se propone administrar las actividades mediante una lista priorizada de requerimientos e iniciativas. Las prioridades se revisarán periódicamente con el responsable designado por SERINTSA IPS.</w:t>
      </w:r>
    </w:p>
    <w:p>
      <w:pPr>
        <w:pStyle w:val="ListBullet"/>
        <w:spacing w:after="60" w:line="252" w:lineRule="auto"/>
      </w:pPr>
      <w:r>
        <w:rPr>
          <w:rFonts w:ascii="Aptos" w:hAnsi="Aptos"/>
          <w:color w:val="263238"/>
          <w:sz w:val="20"/>
        </w:rPr>
        <w:t>Cada necesidad deberá contar con una descripción suficiente del problema o resultado esperado.</w:t>
      </w:r>
    </w:p>
    <w:p>
      <w:pPr>
        <w:pStyle w:val="ListBullet"/>
        <w:spacing w:after="60" w:line="252" w:lineRule="auto"/>
      </w:pPr>
      <w:r>
        <w:rPr>
          <w:rFonts w:ascii="Aptos" w:hAnsi="Aptos"/>
          <w:color w:val="263238"/>
          <w:sz w:val="20"/>
        </w:rPr>
        <w:t>Las iniciativas se priorizarán de acuerdo con criticidad, impacto, urgencia, esfuerzo y dependencias.</w:t>
      </w:r>
    </w:p>
    <w:p>
      <w:pPr>
        <w:pStyle w:val="ListBullet"/>
        <w:spacing w:after="60" w:line="252" w:lineRule="auto"/>
      </w:pPr>
      <w:r>
        <w:rPr>
          <w:rFonts w:ascii="Aptos" w:hAnsi="Aptos"/>
          <w:color w:val="263238"/>
          <w:sz w:val="20"/>
        </w:rPr>
        <w:t>Los cambios relevantes de alcance se documentarán antes de iniciar su ejecución.</w:t>
      </w:r>
    </w:p>
    <w:p>
      <w:pPr>
        <w:pStyle w:val="ListBullet"/>
        <w:spacing w:after="60" w:line="252" w:lineRule="auto"/>
      </w:pPr>
      <w:r>
        <w:rPr>
          <w:rFonts w:ascii="Aptos" w:hAnsi="Aptos"/>
          <w:color w:val="263238"/>
          <w:sz w:val="20"/>
        </w:rPr>
        <w:t>Los desarrollos de mayor complejidad podrán dividirse en entregas progresivas.</w:t>
      </w:r>
    </w:p>
    <w:p>
      <w:pPr>
        <w:pStyle w:val="ListBullet"/>
        <w:spacing w:after="60" w:line="252" w:lineRule="auto"/>
      </w:pPr>
      <w:r>
        <w:rPr>
          <w:rFonts w:ascii="Aptos" w:hAnsi="Aptos"/>
          <w:color w:val="263238"/>
          <w:sz w:val="20"/>
        </w:rPr>
        <w:t>La atención de incidentes críticos podrá modificar temporalmente el orden de prioridades.</w:t>
      </w:r>
    </w:p>
    <w:p>
      <w:pPr>
        <w:pStyle w:val="ListBullet"/>
        <w:spacing w:after="60" w:line="252" w:lineRule="auto"/>
      </w:pPr>
      <w:r>
        <w:rPr>
          <w:rFonts w:ascii="Aptos" w:hAnsi="Aptos"/>
          <w:color w:val="263238"/>
          <w:sz w:val="20"/>
        </w:rPr>
      </w:r>
      <w:r>
        <w:rPr>
          <w:rFonts w:ascii="Aptos" w:hAnsi="Aptos"/>
          <w:color w:val="263238"/>
          <w:sz w:val="20"/>
        </w:rPr>
        <w:t>La capacidad mensual será administrada principalmente entre desarrollo, modernización, actualización, migración, integración, soporte, implementación, documentación y seguimiento según las prioridades vigentes. Las validaciones técnicas complementarias se realizarán únicamente cuando sean necesarias para ejecutar estas actividades.</w:t>
      </w:r>
    </w:p>
    <w:tbl>
      <w:tblPr>
        <w:tblW w:type="auto" w:w="0"/>
        <w:jc w:val="center"/>
        <w:tblLayout w:type="fixed"/>
        <w:tblLook w:firstColumn="1" w:firstRow="1" w:lastColumn="0" w:lastRow="0" w:noHBand="0" w:noVBand="1" w:val="04A0"/>
      </w:tblPr>
      <w:tblGrid>
        <w:gridCol w:w="198"/>
        <w:gridCol w:w="8844"/>
      </w:tblGrid>
      <w:tr>
        <w:trPr>
          <w:cantSplit/>
        </w:trPr>
        <w:tc>
          <w:tcPr>
            <w:tcW w:type="dxa" w:w="198"/>
            <w:shd w:fill="2F75B5"/>
            <w:tcMar>
              <w:top w:w="0" w:type="dxa"/>
              <w:start w:w="0" w:type="dxa"/>
              <w:bottom w:w="0" w:type="dxa"/>
              <w:end w:w="0" w:type="dxa"/>
            </w:tcMar>
          </w:tcPr>
          <w:p/>
        </w:tc>
        <w:tc>
          <w:tcPr>
            <w:tcW w:type="dxa" w:w="8844"/>
            <w:shd w:fill="F3F7FB"/>
            <w:tcMar>
              <w:top w:w="140" w:type="dxa"/>
              <w:start w:w="180" w:type="dxa"/>
              <w:bottom w:w="140" w:type="dxa"/>
              <w:end w:w="180" w:type="dxa"/>
            </w:tcMar>
          </w:tcPr>
          <w:p>
            <w:pPr>
              <w:spacing w:after="60"/>
            </w:pPr>
            <w:r>
              <w:rPr>
                <w:rFonts w:ascii="Aptos" w:hAnsi="Aptos"/>
                <w:b/>
                <w:color w:val="17365D"/>
                <w:sz w:val="21"/>
              </w:rPr>
              <w:t>Alcance abierto, pero controlado</w:t>
            </w:r>
          </w:p>
          <w:p>
            <w:pPr>
              <w:spacing w:after="0" w:line="252" w:lineRule="auto"/>
            </w:pPr>
            <w:r>
              <w:rPr>
                <w:rFonts w:ascii="Aptos" w:hAnsi="Aptos"/>
                <w:color w:val="263238"/>
                <w:sz w:val="20"/>
              </w:rPr>
              <w:t>El carácter flexible del servicio no significa alcance ilimitado. La OPS cubre la dedicación profesional mensual y las actividades priorizadas; los requerimientos se ejecutarán de forma secuencial y razonable según su complejidad, dependencias y disponibilidad.</w:t>
            </w:r>
          </w:p>
        </w:tc>
      </w:tr>
    </w:tbl>
    <w:p>
      <w:pPr>
        <w:spacing w:after="40"/>
      </w:pPr>
    </w:p>
    <w:p>
      <w:pPr>
        <w:pStyle w:val="Heading1"/>
        <w:keepNext/>
      </w:pPr>
      <w:r>
        <w:t>10. Entregables del servicio</w:t>
      </w:r>
    </w:p>
    <w:p>
      <w:pPr>
        <w:spacing w:after="120" w:before="0" w:line="259" w:lineRule="auto"/>
      </w:pPr>
      <w:r>
        <w:rPr>
          <w:rFonts w:ascii="Aptos" w:hAnsi="Aptos"/>
          <w:b w:val="0"/>
          <w:i w:val="0"/>
          <w:color w:val="263238"/>
          <w:sz w:val="21"/>
        </w:rPr>
      </w:r>
      <w:r>
        <w:rPr>
          <w:rFonts w:ascii="Aptos" w:hAnsi="Aptos"/>
          <w:b w:val="0"/>
          <w:i w:val="0"/>
          <w:color w:val="263238"/>
          <w:sz w:val="21"/>
        </w:rPr>
        <w:t>Los entregables dependerán de las iniciativas de modernización efectivamente priorizadas durante cada periodo. El servicio incluye los desarrollos necesarios para ejecutar dichas iniciativas, aunque no se establece una cantidad fija mensual de aplicaciones o módulos debido a que cada solución puede tener distinta complejidad. Los productos podrán incluir, según corresponda:</w:t>
      </w:r>
    </w:p>
    <w:p>
      <w:pPr>
        <w:pStyle w:val="ListBullet"/>
        <w:spacing w:after="60" w:line="252" w:lineRule="auto"/>
      </w:pPr>
      <w:r>
        <w:rPr>
          <w:rFonts w:ascii="Aptos" w:hAnsi="Aptos"/>
          <w:color w:val="263238"/>
          <w:sz w:val="20"/>
        </w:rPr>
      </w:r>
      <w:r>
        <w:rPr>
          <w:rFonts w:ascii="Aptos" w:hAnsi="Aptos"/>
          <w:color w:val="263238"/>
          <w:sz w:val="20"/>
        </w:rPr>
        <w:t>Soluciones implementadas a partir de las necesidades identificadas en el estudio previo.</w:t>
      </w:r>
    </w:p>
    <w:p>
      <w:pPr>
        <w:pStyle w:val="ListBullet"/>
        <w:spacing w:after="60" w:line="252" w:lineRule="auto"/>
      </w:pPr>
      <w:r>
        <w:rPr>
          <w:rFonts w:ascii="Aptos" w:hAnsi="Aptos"/>
          <w:color w:val="263238"/>
          <w:sz w:val="20"/>
        </w:rPr>
      </w:r>
      <w:r>
        <w:rPr>
          <w:rFonts w:ascii="Aptos" w:hAnsi="Aptos"/>
          <w:color w:val="263238"/>
          <w:sz w:val="20"/>
        </w:rPr>
        <w:t>Validaciones técnicas puntuales, diseños de implementación y definición de dependencias cuando sean necesarios para ejecutar una solución.</w:t>
      </w:r>
    </w:p>
    <w:p>
      <w:pPr>
        <w:pStyle w:val="ListBullet"/>
        <w:spacing w:after="60" w:line="252" w:lineRule="auto"/>
      </w:pPr>
      <w:r>
        <w:rPr>
          <w:rFonts w:ascii="Aptos" w:hAnsi="Aptos"/>
          <w:color w:val="263238"/>
          <w:sz w:val="20"/>
        </w:rPr>
      </w:r>
      <w:r>
        <w:rPr>
          <w:rFonts w:ascii="Aptos" w:hAnsi="Aptos"/>
          <w:color w:val="263238"/>
          <w:sz w:val="20"/>
        </w:rPr>
        <w:t>Aplicaciones, módulos, componentes, integraciones y automatizaciones desarrolladas para la modernización de los procesos.</w:t>
      </w:r>
    </w:p>
    <w:p>
      <w:pPr>
        <w:pStyle w:val="ListBullet"/>
        <w:spacing w:after="60" w:line="252" w:lineRule="auto"/>
      </w:pPr>
      <w:r>
        <w:rPr>
          <w:rFonts w:ascii="Aptos" w:hAnsi="Aptos"/>
          <w:color w:val="263238"/>
          <w:sz w:val="20"/>
        </w:rPr>
        <w:t>Diseños funcionales, técnicos o de arquitectura.</w:t>
      </w:r>
    </w:p>
    <w:p>
      <w:pPr>
        <w:pStyle w:val="ListBullet"/>
        <w:spacing w:after="60" w:line="252" w:lineRule="auto"/>
      </w:pPr>
      <w:r>
        <w:rPr>
          <w:rFonts w:ascii="Aptos" w:hAnsi="Aptos"/>
          <w:color w:val="263238"/>
          <w:sz w:val="20"/>
        </w:rPr>
      </w:r>
      <w:r>
        <w:rPr>
          <w:rFonts w:ascii="Aptos" w:hAnsi="Aptos"/>
          <w:color w:val="263238"/>
          <w:sz w:val="20"/>
        </w:rPr>
        <w:t>Actualizaciones, migraciones, integraciones, automatizaciones y desarrollos requeridos para reemplazar o transformar aplicaciones y procesos antiguos.</w:t>
      </w:r>
    </w:p>
    <w:p>
      <w:pPr>
        <w:pStyle w:val="ListBullet"/>
        <w:spacing w:after="60" w:line="252" w:lineRule="auto"/>
      </w:pPr>
      <w:r>
        <w:rPr>
          <w:rFonts w:ascii="Aptos" w:hAnsi="Aptos"/>
          <w:color w:val="263238"/>
          <w:sz w:val="20"/>
        </w:rPr>
      </w:r>
      <w:r>
        <w:rPr>
          <w:rFonts w:ascii="Aptos" w:hAnsi="Aptos"/>
          <w:color w:val="263238"/>
          <w:sz w:val="20"/>
        </w:rPr>
        <w:t>Migración, depuración o transformación de datos cuando forme parte de una iniciativa de modernización.</w:t>
      </w:r>
    </w:p>
    <w:p>
      <w:pPr>
        <w:pStyle w:val="ListBullet"/>
        <w:spacing w:after="60" w:line="252" w:lineRule="auto"/>
      </w:pPr>
      <w:r>
        <w:rPr>
          <w:rFonts w:ascii="Aptos" w:hAnsi="Aptos"/>
          <w:color w:val="263238"/>
          <w:sz w:val="20"/>
        </w:rPr>
      </w:r>
      <w:r>
        <w:rPr>
          <w:rFonts w:ascii="Aptos" w:hAnsi="Aptos"/>
          <w:color w:val="263238"/>
          <w:sz w:val="20"/>
        </w:rPr>
        <w:t>Aplicaciones web, APIs, servicios, scripts, consultas, reportes, utilidades y demás soluciones técnicas necesarias.</w:t>
      </w:r>
    </w:p>
    <w:p>
      <w:pPr>
        <w:pStyle w:val="ListBullet"/>
        <w:spacing w:after="60" w:line="252" w:lineRule="auto"/>
      </w:pPr>
      <w:r>
        <w:rPr>
          <w:rFonts w:ascii="Aptos" w:hAnsi="Aptos"/>
          <w:color w:val="263238"/>
          <w:sz w:val="20"/>
        </w:rPr>
        <w:t>Documentación técnica, funcional y manuales de uso.</w:t>
      </w:r>
    </w:p>
    <w:p>
      <w:pPr>
        <w:pStyle w:val="ListBullet"/>
        <w:spacing w:after="60" w:line="252" w:lineRule="auto"/>
      </w:pPr>
      <w:r>
        <w:rPr>
          <w:rFonts w:ascii="Aptos" w:hAnsi="Aptos"/>
          <w:color w:val="263238"/>
          <w:sz w:val="20"/>
        </w:rPr>
        <w:t>Registros de pruebas, implementación y estabilización.</w:t>
      </w:r>
    </w:p>
    <w:p>
      <w:pPr>
        <w:pStyle w:val="ListBullet"/>
        <w:spacing w:after="60" w:line="252" w:lineRule="auto"/>
      </w:pPr>
      <w:r>
        <w:rPr>
          <w:rFonts w:ascii="Aptos" w:hAnsi="Aptos"/>
          <w:color w:val="263238"/>
          <w:sz w:val="20"/>
        </w:rPr>
        <w:t>Reportes de mesa de ayuda y seguimiento de incidentes cuando sean requeridos.</w:t>
      </w:r>
    </w:p>
    <w:p>
      <w:pPr>
        <w:pStyle w:val="ListBullet"/>
        <w:spacing w:after="60" w:line="252" w:lineRule="auto"/>
      </w:pPr>
      <w:r>
        <w:rPr>
          <w:rFonts w:ascii="Aptos" w:hAnsi="Aptos"/>
          <w:color w:val="263238"/>
          <w:sz w:val="20"/>
        </w:rPr>
        <w:t>Informes de avance y recomendaciones para siguientes etapas.</w:t>
      </w:r>
    </w:p>
    <w:p>
      <w:pPr>
        <w:pStyle w:val="Heading1"/>
        <w:keepNext/>
      </w:pPr>
      <w:r>
        <w:t>11. Mesa de ayuda y soporte a equipos</w:t>
      </w:r>
    </w:p>
    <w:p>
      <w:pPr>
        <w:spacing w:after="120" w:before="0" w:line="259" w:lineRule="auto"/>
      </w:pPr>
      <w:r>
        <w:rPr>
          <w:rFonts w:ascii="Aptos" w:hAnsi="Aptos"/>
          <w:b w:val="0"/>
          <w:i w:val="0"/>
          <w:color w:val="263238"/>
          <w:sz w:val="21"/>
        </w:rPr>
        <w:t>La gestión de soporte tecnológico hará parte de la prestación integral. La mesa de ayuda web existente, desarrollada en PHP, servirá como mecanismo de registro y seguimiento para centralizar los requerimientos de los usuarios y conservar trazabilidad sobre su atención. Esta gestión comprenderá los requerimientos de la sede principal de SERINTSA IPS, Farmaserintsa y CABE, así como el soporte tecnológico asociado al software TNS utilizado por facturación y contabilidad.</w:t>
      </w:r>
    </w:p>
    <w:p>
      <w:pPr>
        <w:spacing w:after="120" w:before="0" w:line="259" w:lineRule="auto"/>
      </w:pPr>
      <w:r>
        <w:rPr>
          <w:rFonts w:ascii="Aptos" w:hAnsi="Aptos"/>
          <w:b w:val="0"/>
          <w:i w:val="0"/>
          <w:color w:val="263238"/>
          <w:sz w:val="21"/>
        </w:rPr>
        <w:t>La mesa de ayuda podrá actualizarse y modernizarse de acuerdo con las necesidades identificadas, sin asumir desde esta propuesta una lista cerrada de funcionalidades. Las mejoras se priorizarán con el mismo criterio aplicado a los demás procesos institucionales.</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2438"/>
            <w:shd w:fill="17365D"/>
            <w:tcMar>
              <w:top w:w="110" w:type="dxa"/>
              <w:start w:w="120" w:type="dxa"/>
              <w:bottom w:w="110" w:type="dxa"/>
              <w:end w:w="120" w:type="dxa"/>
            </w:tcMar>
            <w:vAlign w:val="center"/>
          </w:tcPr>
          <w:p>
            <w:pPr>
              <w:jc w:val="center"/>
            </w:pPr>
            <w:r>
              <w:rPr>
                <w:rFonts w:ascii="Aptos" w:hAnsi="Aptos"/>
                <w:b/>
                <w:color w:val="FFFFFF"/>
                <w:sz w:val="18"/>
              </w:rPr>
              <w:t>Ámbito</w:t>
            </w:r>
          </w:p>
        </w:tc>
        <w:tc>
          <w:tcPr>
            <w:tcW w:type="dxa" w:w="6633"/>
            <w:shd w:fill="17365D"/>
            <w:tcMar>
              <w:top w:w="110" w:type="dxa"/>
              <w:start w:w="120" w:type="dxa"/>
              <w:bottom w:w="110" w:type="dxa"/>
              <w:end w:w="120" w:type="dxa"/>
            </w:tcMar>
            <w:vAlign w:val="center"/>
          </w:tcPr>
          <w:p>
            <w:pPr>
              <w:jc w:val="center"/>
            </w:pPr>
            <w:r>
              <w:rPr>
                <w:rFonts w:ascii="Aptos" w:hAnsi="Aptos"/>
                <w:b/>
                <w:color w:val="FFFFFF"/>
                <w:sz w:val="18"/>
              </w:rPr>
              <w:t>Cobertura general</w:t>
            </w:r>
          </w:p>
        </w:tc>
      </w:tr>
      <w:tr>
        <w:trPr>
          <w:cantSplit/>
        </w:trPr>
        <w:tc>
          <w:tcPr>
            <w:tcW w:type="dxa" w:w="2438"/>
            <w:tcMar>
              <w:top w:w="105" w:type="dxa"/>
              <w:start w:w="120" w:type="dxa"/>
              <w:bottom w:w="105" w:type="dxa"/>
              <w:end w:w="120" w:type="dxa"/>
            </w:tcMar>
            <w:vAlign w:val="top"/>
          </w:tcPr>
          <w:p>
            <w:pPr>
              <w:spacing w:after="0"/>
            </w:pPr>
            <w:r>
              <w:rPr>
                <w:rFonts w:ascii="Aptos" w:hAnsi="Aptos"/>
                <w:color w:val="263238"/>
                <w:sz w:val="18"/>
              </w:rPr>
              <w:t>Equipos de cómputo</w:t>
            </w:r>
          </w:p>
        </w:tc>
        <w:tc>
          <w:tcPr>
            <w:tcW w:type="dxa" w:w="6633"/>
            <w:tcMar>
              <w:top w:w="105" w:type="dxa"/>
              <w:start w:w="120" w:type="dxa"/>
              <w:bottom w:w="105" w:type="dxa"/>
              <w:end w:w="120" w:type="dxa"/>
            </w:tcMar>
            <w:vAlign w:val="top"/>
          </w:tcPr>
          <w:p>
            <w:pPr>
              <w:spacing w:after="0"/>
            </w:pPr>
            <w:r>
              <w:rPr>
                <w:rFonts w:ascii="Aptos" w:hAnsi="Aptos"/>
                <w:color w:val="263238"/>
                <w:sz w:val="18"/>
              </w:rPr>
              <w:t>Diagnóstico de incidentes, configuración, software de usuario y apoyo técnico dentro de las capacidades disponibles.</w:t>
            </w:r>
          </w:p>
        </w:tc>
      </w:tr>
      <w:tr>
        <w:trPr>
          <w:cantSplit/>
        </w:trPr>
        <w:tc>
          <w:tcPr>
            <w:tcW w:type="dxa" w:w="2438"/>
            <w:shd w:fill="F8FAFC"/>
            <w:tcMar>
              <w:top w:w="105" w:type="dxa"/>
              <w:start w:w="120" w:type="dxa"/>
              <w:bottom w:w="105" w:type="dxa"/>
              <w:end w:w="120" w:type="dxa"/>
            </w:tcMar>
            <w:vAlign w:val="top"/>
          </w:tcPr>
          <w:p>
            <w:pPr>
              <w:spacing w:after="0"/>
            </w:pPr>
            <w:r>
              <w:rPr>
                <w:rFonts w:ascii="Aptos" w:hAnsi="Aptos"/>
                <w:color w:val="263238"/>
                <w:sz w:val="18"/>
              </w:rPr>
              <w:t>Impresión y periféricos</w:t>
            </w:r>
          </w:p>
        </w:tc>
        <w:tc>
          <w:tcPr>
            <w:tcW w:type="dxa" w:w="6633"/>
            <w:shd w:fill="F8FAFC"/>
            <w:tcMar>
              <w:top w:w="105" w:type="dxa"/>
              <w:start w:w="120" w:type="dxa"/>
              <w:bottom w:w="105" w:type="dxa"/>
              <w:end w:w="120" w:type="dxa"/>
            </w:tcMar>
            <w:vAlign w:val="top"/>
          </w:tcPr>
          <w:p>
            <w:pPr>
              <w:spacing w:after="0"/>
            </w:pPr>
            <w:r>
              <w:rPr>
                <w:rFonts w:ascii="Aptos" w:hAnsi="Aptos"/>
                <w:color w:val="263238"/>
                <w:sz w:val="18"/>
              </w:rPr>
              <w:t>Configuración, conectividad, controladores, diagnóstico y escalamiento de fallas físicas cuando sea necesario.</w:t>
            </w:r>
          </w:p>
        </w:tc>
      </w:tr>
      <w:tr>
        <w:trPr>
          <w:cantSplit/>
        </w:trPr>
        <w:tc>
          <w:tcPr>
            <w:tcW w:type="dxa" w:w="2438"/>
            <w:tcMar>
              <w:top w:w="105" w:type="dxa"/>
              <w:start w:w="120" w:type="dxa"/>
              <w:bottom w:w="105" w:type="dxa"/>
              <w:end w:w="120" w:type="dxa"/>
            </w:tcMar>
            <w:vAlign w:val="top"/>
          </w:tcPr>
          <w:p>
            <w:pPr>
              <w:spacing w:after="0"/>
            </w:pPr>
            <w:r>
              <w:rPr>
                <w:rFonts w:ascii="Aptos" w:hAnsi="Aptos"/>
                <w:color w:val="263238"/>
                <w:sz w:val="18"/>
              </w:rPr>
              <w:t>Aplicaciones</w:t>
            </w:r>
          </w:p>
        </w:tc>
        <w:tc>
          <w:tcPr>
            <w:tcW w:type="dxa" w:w="6633"/>
            <w:tcMar>
              <w:top w:w="105" w:type="dxa"/>
              <w:start w:w="120" w:type="dxa"/>
              <w:bottom w:w="105" w:type="dxa"/>
              <w:end w:w="120" w:type="dxa"/>
            </w:tcMar>
            <w:vAlign w:val="top"/>
          </w:tcPr>
          <w:p>
            <w:pPr>
              <w:spacing w:after="0"/>
            </w:pPr>
            <w:r>
              <w:rPr>
                <w:rFonts w:ascii="Aptos" w:hAnsi="Aptos"/>
                <w:color w:val="263238"/>
                <w:sz w:val="18"/>
              </w:rPr>
              <w:t>Apoyo al usuario, configuración y análisis inicial de incidentes relacionados con herramientas institucionales.</w:t>
            </w:r>
          </w:p>
        </w:tc>
      </w:tr>
      <w:tr>
        <w:trPr>
          <w:cantSplit/>
        </w:trPr>
        <w:tc>
          <w:tcPr>
            <w:tcW w:type="dxa" w:w="2438"/>
            <w:shd w:fill="F8FAFC"/>
            <w:tcMar>
              <w:top w:w="105" w:type="dxa"/>
              <w:start w:w="120" w:type="dxa"/>
              <w:bottom w:w="105" w:type="dxa"/>
              <w:end w:w="120" w:type="dxa"/>
            </w:tcMar>
            <w:vAlign w:val="top"/>
          </w:tcPr>
          <w:p>
            <w:pPr>
              <w:spacing w:after="0"/>
            </w:pPr>
            <w:r>
              <w:rPr>
                <w:rFonts w:ascii="Aptos" w:hAnsi="Aptos"/>
                <w:color w:val="263238"/>
                <w:sz w:val="18"/>
              </w:rPr>
              <w:t>Conectividad de usuario</w:t>
            </w:r>
          </w:p>
        </w:tc>
        <w:tc>
          <w:tcPr>
            <w:tcW w:type="dxa" w:w="6633"/>
            <w:shd w:fill="F8FAFC"/>
            <w:tcMar>
              <w:top w:w="105" w:type="dxa"/>
              <w:start w:w="120" w:type="dxa"/>
              <w:bottom w:w="105" w:type="dxa"/>
              <w:end w:w="120" w:type="dxa"/>
            </w:tcMar>
            <w:vAlign w:val="top"/>
          </w:tcPr>
          <w:p>
            <w:pPr>
              <w:spacing w:after="0"/>
            </w:pPr>
            <w:r>
              <w:rPr>
                <w:rFonts w:ascii="Aptos" w:hAnsi="Aptos"/>
                <w:color w:val="263238"/>
                <w:sz w:val="18"/>
              </w:rPr>
              <w:t>Verificación inicial de acceso, configuración y coordinación de escalamiento cuando la causa corresponda a infraestructura externa.</w:t>
            </w:r>
          </w:p>
        </w:tc>
      </w:tr>
      <w:tr>
        <w:trPr>
          <w:cantSplit/>
        </w:trPr>
        <w:tc>
          <w:tcPr>
            <w:tcW w:type="dxa" w:w="2438"/>
            <w:tcMar>
              <w:top w:w="105" w:type="dxa"/>
              <w:start w:w="120" w:type="dxa"/>
              <w:bottom w:w="105" w:type="dxa"/>
              <w:end w:w="120" w:type="dxa"/>
            </w:tcMar>
            <w:vAlign w:val="top"/>
          </w:tcPr>
          <w:p>
            <w:pPr>
              <w:spacing w:after="0"/>
            </w:pPr>
            <w:r>
              <w:rPr>
                <w:rFonts w:ascii="Aptos" w:hAnsi="Aptos"/>
                <w:color w:val="263238"/>
                <w:sz w:val="18"/>
              </w:rPr>
              <w:t>Mesa de ayuda</w:t>
            </w:r>
          </w:p>
        </w:tc>
        <w:tc>
          <w:tcPr>
            <w:tcW w:type="dxa" w:w="6633"/>
            <w:tcMar>
              <w:top w:w="105" w:type="dxa"/>
              <w:start w:w="120" w:type="dxa"/>
              <w:bottom w:w="105" w:type="dxa"/>
              <w:end w:w="120" w:type="dxa"/>
            </w:tcMar>
            <w:vAlign w:val="top"/>
          </w:tcPr>
          <w:p>
            <w:pPr>
              <w:spacing w:after="0"/>
            </w:pPr>
            <w:r>
              <w:rPr>
                <w:rFonts w:ascii="Aptos" w:hAnsi="Aptos"/>
                <w:color w:val="263238"/>
                <w:sz w:val="18"/>
              </w:rPr>
              <w:t>Registro, clasificación, seguimiento, cierre, documentación y análisis de tendencias de los requerimientos.</w:t>
            </w:r>
          </w:p>
        </w:tc>
      </w:tr>
      <w:tr>
        <w:tc>
          <w:tcPr>
            <w:tcW w:type="dxa" w:w="4677"/>
            <w:shd w:fill="F8FAFC"/>
            <w:vAlign w:val="top"/>
            <w:tcMar>
              <w:top w:w="105" w:type="dxa"/>
              <w:start w:w="120" w:type="dxa"/>
              <w:bottom w:w="105" w:type="dxa"/>
              <w:end w:w="120" w:type="dxa"/>
            </w:tcMar>
          </w:tcPr>
          <w:p>
            <w:pPr>
              <w:spacing w:after="0"/>
            </w:pPr>
            <w:r>
              <w:rPr>
                <w:rFonts w:ascii="Aptos" w:hAnsi="Aptos"/>
                <w:color w:val="263238"/>
                <w:sz w:val="18"/>
              </w:rPr>
              <w:t>TNS - facturación y contabilidad</w:t>
            </w:r>
          </w:p>
        </w:tc>
        <w:tc>
          <w:tcPr>
            <w:tcW w:type="dxa" w:w="4677"/>
            <w:shd w:fill="F8FAFC"/>
            <w:vAlign w:val="top"/>
            <w:tcMar>
              <w:top w:w="105" w:type="dxa"/>
              <w:start w:w="120" w:type="dxa"/>
              <w:bottom w:w="105" w:type="dxa"/>
              <w:end w:w="120" w:type="dxa"/>
            </w:tcMar>
          </w:tcPr>
          <w:p>
            <w:pPr>
              <w:spacing w:after="0"/>
            </w:pPr>
            <w:r>
              <w:rPr>
                <w:rFonts w:ascii="Aptos" w:hAnsi="Aptos"/>
                <w:color w:val="263238"/>
                <w:sz w:val="18"/>
              </w:rPr>
              <w:t>Atención a usuarios, diagnóstico inicial, configuración dentro de los permisos disponibles, apoyo operativo y escalamiento documentado al proveedor cuando corresponda.</w:t>
            </w:r>
          </w:p>
        </w:tc>
      </w:tr>
      <w:tr>
        <w:tc>
          <w:tcPr>
            <w:tcW w:type="dxa" w:w="4677"/>
            <w:vAlign w:val="top"/>
            <w:tcMar>
              <w:top w:w="105" w:type="dxa"/>
              <w:start w:w="120" w:type="dxa"/>
              <w:bottom w:w="105" w:type="dxa"/>
              <w:end w:w="120" w:type="dxa"/>
            </w:tcMar>
          </w:tcPr>
          <w:p>
            <w:pPr>
              <w:spacing w:after="0"/>
            </w:pPr>
            <w:r>
              <w:rPr>
                <w:rFonts w:ascii="Aptos" w:hAnsi="Aptos"/>
                <w:color w:val="263238"/>
                <w:sz w:val="18"/>
              </w:rPr>
              <w:t>Cobertura de sedes</w:t>
            </w:r>
          </w:p>
        </w:tc>
        <w:tc>
          <w:tcPr>
            <w:tcW w:type="dxa" w:w="4677"/>
            <w:vAlign w:val="top"/>
            <w:tcMar>
              <w:top w:w="105" w:type="dxa"/>
              <w:start w:w="120" w:type="dxa"/>
              <w:bottom w:w="105" w:type="dxa"/>
              <w:end w:w="120" w:type="dxa"/>
            </w:tcMar>
          </w:tcPr>
          <w:p>
            <w:pPr>
              <w:spacing w:after="0"/>
            </w:pPr>
            <w:r>
              <w:rPr>
                <w:rFonts w:ascii="Aptos" w:hAnsi="Aptos"/>
                <w:color w:val="263238"/>
                <w:sz w:val="18"/>
              </w:rPr>
              <w:t>Atención de requerimientos de la sede principal, Farmaserintsa y CABE, mediante soporte remoto o presencial según la naturaleza y criticidad de cada caso.</w:t>
            </w:r>
          </w:p>
        </w:tc>
      </w:tr>
    </w:tbl>
    <w:p>
      <w:pPr>
        <w:spacing w:after="80"/>
      </w:pPr>
    </w:p>
    <w:p>
      <w:pPr>
        <w:spacing w:after="120" w:line="259" w:lineRule="auto"/>
      </w:pPr>
      <w:r>
        <w:rPr>
          <w:rFonts w:ascii="Aptos" w:hAnsi="Aptos"/>
          <w:color w:val="263238"/>
          <w:sz w:val="21"/>
        </w:rPr>
        <w:t>La cobertura multisede no implica permanencia física en cada ubicación. Los requerimientos se gestionarán desde la mesa de ayuda y se atenderán de forma remota o presencial según el tipo de incidente, la prioridad operativa y la necesidad real de desplazamiento.</w:t>
      </w:r>
    </w:p>
    <w:p>
      <w:pPr>
        <w:spacing w:after="120" w:before="0" w:line="259" w:lineRule="auto"/>
      </w:pPr>
      <w:r>
        <w:rPr>
          <w:rFonts w:ascii="Aptos" w:hAnsi="Aptos"/>
          <w:b w:val="0"/>
          <w:i w:val="0"/>
          <w:color w:val="263238"/>
          <w:sz w:val="21"/>
        </w:rPr>
        <w:t>Los repuestos, consumibles, licencias, mantenimientos especializados, garantías, reparaciones electrónicas, servicios de proveedores externos y adquisición de infraestructura no se consideran incluidos en el valor mensual, salvo acuerdo expreso entre las partes.</w:t>
      </w:r>
    </w:p>
    <w:p>
      <w:pPr>
        <w:pStyle w:val="Heading1"/>
        <w:keepNext/>
      </w:pPr>
      <w:r>
        <w:t>12. Seguridad, continuidad y manejo de información</w:t>
      </w:r>
    </w:p>
    <w:p>
      <w:pPr>
        <w:spacing w:after="120" w:before="0" w:line="259" w:lineRule="auto"/>
      </w:pPr>
      <w:r>
        <w:rPr>
          <w:rFonts w:ascii="Aptos" w:hAnsi="Aptos"/>
          <w:b w:val="0"/>
          <w:i w:val="0"/>
          <w:color w:val="263238"/>
          <w:sz w:val="21"/>
        </w:rPr>
        <w:t>Debido a la naturaleza de la información administrada por una IPS, cualquier iniciativa tecnológica deberá considerar desde su diseño los controles de acceso, la confidencialidad, la integridad, la disponibilidad y la trazabilidad de la información.</w:t>
      </w:r>
    </w:p>
    <w:p>
      <w:pPr>
        <w:pStyle w:val="ListBullet"/>
        <w:spacing w:after="60" w:line="252" w:lineRule="auto"/>
      </w:pPr>
      <w:r>
        <w:rPr>
          <w:rFonts w:ascii="Aptos" w:hAnsi="Aptos"/>
          <w:color w:val="263238"/>
          <w:sz w:val="20"/>
        </w:rPr>
        <w:t>Aplicación de roles y permisos según las necesidades de cada solución.</w:t>
      </w:r>
    </w:p>
    <w:p>
      <w:pPr>
        <w:pStyle w:val="ListBullet"/>
        <w:spacing w:after="60" w:line="252" w:lineRule="auto"/>
      </w:pPr>
      <w:r>
        <w:rPr>
          <w:rFonts w:ascii="Aptos" w:hAnsi="Aptos"/>
          <w:color w:val="263238"/>
          <w:sz w:val="20"/>
        </w:rPr>
        <w:t>Registro de actividades o trazabilidad cuando la criticidad del proceso lo requiera.</w:t>
      </w:r>
    </w:p>
    <w:p>
      <w:pPr>
        <w:pStyle w:val="ListBullet"/>
        <w:spacing w:after="60" w:line="252" w:lineRule="auto"/>
      </w:pPr>
      <w:r>
        <w:rPr>
          <w:rFonts w:ascii="Aptos" w:hAnsi="Aptos"/>
          <w:color w:val="263238"/>
          <w:sz w:val="20"/>
        </w:rPr>
        <w:t>Respaldo de información antes de migraciones o cambios relevantes.</w:t>
      </w:r>
    </w:p>
    <w:p>
      <w:pPr>
        <w:pStyle w:val="ListBullet"/>
        <w:spacing w:after="60" w:line="252" w:lineRule="auto"/>
      </w:pPr>
      <w:r>
        <w:rPr>
          <w:rFonts w:ascii="Aptos" w:hAnsi="Aptos"/>
          <w:color w:val="263238"/>
          <w:sz w:val="20"/>
        </w:rPr>
        <w:t>Separación razonable entre ambientes de desarrollo, pruebas y producción cuando aplique.</w:t>
      </w:r>
    </w:p>
    <w:p>
      <w:pPr>
        <w:pStyle w:val="ListBullet"/>
        <w:spacing w:after="60" w:line="252" w:lineRule="auto"/>
      </w:pPr>
      <w:r>
        <w:rPr>
          <w:rFonts w:ascii="Aptos" w:hAnsi="Aptos"/>
          <w:color w:val="263238"/>
          <w:sz w:val="20"/>
        </w:rPr>
        <w:t>Uso de mecanismos de autenticación y protección de credenciales.</w:t>
      </w:r>
    </w:p>
    <w:p>
      <w:pPr>
        <w:pStyle w:val="ListBullet"/>
        <w:spacing w:after="60" w:line="252" w:lineRule="auto"/>
      </w:pPr>
      <w:r>
        <w:rPr>
          <w:rFonts w:ascii="Aptos" w:hAnsi="Aptos"/>
          <w:color w:val="263238"/>
          <w:sz w:val="20"/>
        </w:rPr>
        <w:t>Documentación de cambios sobre sistemas críticos.</w:t>
      </w:r>
    </w:p>
    <w:p>
      <w:pPr>
        <w:pStyle w:val="ListBullet"/>
        <w:spacing w:after="60" w:line="252" w:lineRule="auto"/>
      </w:pPr>
      <w:r>
        <w:rPr>
          <w:rFonts w:ascii="Aptos" w:hAnsi="Aptos"/>
          <w:color w:val="263238"/>
          <w:sz w:val="20"/>
        </w:rPr>
        <w:t>Coordinación con las políticas institucionales de seguridad y con la normatividad aplicable al tratamiento de información y datos de salud.</w:t>
      </w:r>
    </w:p>
    <w:p>
      <w:pPr>
        <w:spacing w:after="120" w:before="0" w:line="259" w:lineRule="auto"/>
      </w:pPr>
      <w:r>
        <w:rPr>
          <w:rFonts w:ascii="Aptos" w:hAnsi="Aptos"/>
          <w:b w:val="0"/>
          <w:i w:val="0"/>
          <w:color w:val="263238"/>
          <w:sz w:val="21"/>
        </w:rPr>
        <w:t>Las decisiones de infraestructura, alojamiento, copias de seguridad, disponibilidad y contingencia se evaluarán de acuerdo con la arquitectura real de SERINTSA IPS y los recursos que la institución decida disponer.</w:t>
      </w:r>
    </w:p>
    <w:p>
      <w:pPr>
        <w:pStyle w:val="Heading1"/>
        <w:keepNext/>
      </w:pPr>
      <w:r>
        <w:t>13. Hoja de ruta inicial de referencia</w:t>
      </w:r>
    </w:p>
    <w:p>
      <w:pPr>
        <w:spacing w:after="120" w:before="0" w:line="259" w:lineRule="auto"/>
      </w:pPr>
      <w:r>
        <w:rPr>
          <w:rFonts w:ascii="Aptos" w:hAnsi="Aptos"/>
          <w:b w:val="0"/>
          <w:i w:val="0"/>
          <w:color w:val="263238"/>
          <w:sz w:val="21"/>
        </w:rPr>
      </w:r>
      <w:r>
        <w:rPr>
          <w:rFonts w:ascii="Aptos" w:hAnsi="Aptos"/>
          <w:b w:val="0"/>
          <w:i w:val="0"/>
          <w:color w:val="263238"/>
          <w:sz w:val="21"/>
        </w:rPr>
        <w:t>La hoja de ruta de esta nueva etapa partirá directamente del estudio, hallazgos y necesidades obtenidos durante la contratación previa. Su finalidad será ordenar la ejecución de las soluciones de modernización, no repetir el levantamiento realizado. El orden podrá ajustarse de acuerdo con las prioridades operativas, dependencias y complejidad de cada iniciativa.</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2268"/>
            <w:shd w:fill="17365D"/>
            <w:tcMar>
              <w:top w:w="110" w:type="dxa"/>
              <w:start w:w="120" w:type="dxa"/>
              <w:bottom w:w="110" w:type="dxa"/>
              <w:end w:w="120" w:type="dxa"/>
            </w:tcMar>
            <w:vAlign w:val="center"/>
          </w:tcPr>
          <w:p>
            <w:pPr>
              <w:jc w:val="center"/>
            </w:pPr>
            <w:r>
              <w:rPr>
                <w:rFonts w:ascii="Aptos" w:hAnsi="Aptos"/>
                <w:b/>
                <w:color w:val="FFFFFF"/>
                <w:sz w:val="18"/>
              </w:rPr>
              <w:t>Periodo de referencia</w:t>
            </w:r>
          </w:p>
        </w:tc>
        <w:tc>
          <w:tcPr>
            <w:tcW w:type="dxa" w:w="6803"/>
            <w:shd w:fill="17365D"/>
            <w:tcMar>
              <w:top w:w="110" w:type="dxa"/>
              <w:start w:w="120" w:type="dxa"/>
              <w:bottom w:w="110" w:type="dxa"/>
              <w:end w:w="120" w:type="dxa"/>
            </w:tcMar>
            <w:vAlign w:val="center"/>
          </w:tcPr>
          <w:p>
            <w:pPr>
              <w:jc w:val="center"/>
            </w:pPr>
            <w:r>
              <w:rPr>
                <w:rFonts w:ascii="Aptos" w:hAnsi="Aptos"/>
                <w:b/>
                <w:color w:val="FFFFFF"/>
                <w:sz w:val="18"/>
              </w:rPr>
              <w:t>Enfoque</w:t>
            </w:r>
          </w:p>
        </w:tc>
      </w:tr>
      <w:tr>
        <w:trPr>
          <w:cantSplit/>
        </w:trPr>
        <w:tc>
          <w:tcPr>
            <w:tcW w:type="dxa" w:w="2268"/>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Primer ciclo de ejecución</w:t>
            </w:r>
          </w:p>
        </w:tc>
        <w:tc>
          <w:tcPr>
            <w:tcW w:type="dxa" w:w="6803"/>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Priorización de las necesidades ya identificadas y selección de los primeros procesos o aplicaciones antiguas a intervenir.</w:t>
            </w:r>
          </w:p>
        </w:tc>
      </w:tr>
      <w:tr>
        <w:trPr>
          <w:cantSplit/>
        </w:trPr>
        <w:tc>
          <w:tcPr>
            <w:tcW w:type="dxa" w:w="2268"/>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Diseño y desarrollo</w:t>
            </w:r>
          </w:p>
        </w:tc>
        <w:tc>
          <w:tcPr>
            <w:tcW w:type="dxa" w:w="6803"/>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Definición técnica, programación y desarrollo de las soluciones necesarias para los frentes priorizados.</w:t>
            </w:r>
          </w:p>
        </w:tc>
      </w:tr>
      <w:tr>
        <w:trPr>
          <w:cantSplit/>
        </w:trPr>
        <w:tc>
          <w:tcPr>
            <w:tcW w:type="dxa" w:w="2268"/>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Migración e implementación</w:t>
            </w:r>
          </w:p>
        </w:tc>
        <w:tc>
          <w:tcPr>
            <w:tcW w:type="dxa" w:w="6803"/>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Integración, migración de información, pruebas, puesta en operación, documentación y estabilización de las soluciones.</w:t>
            </w:r>
          </w:p>
        </w:tc>
      </w:tr>
      <w:tr>
        <w:trPr>
          <w:cantSplit/>
        </w:trPr>
        <w:tc>
          <w:tcPr>
            <w:tcW w:type="dxa" w:w="2268"/>
            <w:shd w:fill="F8FAFC"/>
            <w:tcMar>
              <w:top w:w="105" w:type="dxa"/>
              <w:start w:w="120" w:type="dxa"/>
              <w:bottom w:w="105" w:type="dxa"/>
              <w:end w:w="120" w:type="dxa"/>
            </w:tcMar>
            <w:vAlign w:val="top"/>
          </w:tcPr>
          <w:p>
            <w:pPr>
              <w:spacing w:after="0"/>
            </w:pPr>
            <w:r>
              <w:rPr>
                <w:rFonts w:ascii="Aptos" w:hAnsi="Aptos"/>
                <w:color w:val="263238"/>
                <w:sz w:val="18"/>
              </w:rPr>
              <w:t>Evolución continua</w:t>
            </w:r>
          </w:p>
        </w:tc>
        <w:tc>
          <w:tcPr>
            <w:tcW w:type="dxa" w:w="6803"/>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Continuación de la actualización, desarrollo, migración, integración y modernización de nuevos procesos, aplicaciones y áreas según las prioridades institucionales.</w:t>
            </w:r>
          </w:p>
        </w:tc>
      </w:tr>
    </w:tbl>
    <w:p>
      <w:pPr>
        <w:spacing w:after="80"/>
      </w:pPr>
    </w:p>
    <w:tbl>
      <w:tblPr>
        <w:tblW w:type="auto" w:w="0"/>
        <w:jc w:val="center"/>
        <w:tblLayout w:type="fixed"/>
        <w:tblLook w:firstColumn="1" w:firstRow="1" w:lastColumn="0" w:lastRow="0" w:noHBand="0" w:noVBand="1" w:val="04A0"/>
      </w:tblPr>
      <w:tblGrid>
        <w:gridCol w:w="198"/>
        <w:gridCol w:w="8844"/>
      </w:tblGrid>
      <w:tr>
        <w:trPr>
          <w:cantSplit/>
        </w:trPr>
        <w:tc>
          <w:tcPr>
            <w:tcW w:type="dxa" w:w="198"/>
            <w:shd w:fill="2F75B5"/>
            <w:tcMar>
              <w:top w:w="0" w:type="dxa"/>
              <w:start w:w="0" w:type="dxa"/>
              <w:bottom w:w="0" w:type="dxa"/>
              <w:end w:w="0" w:type="dxa"/>
            </w:tcMar>
          </w:tcPr>
          <w:p/>
        </w:tc>
        <w:tc>
          <w:tcPr>
            <w:tcW w:type="dxa" w:w="8844"/>
            <w:shd w:fill="F3F7FB"/>
            <w:tcMar>
              <w:top w:w="140" w:type="dxa"/>
              <w:start w:w="180" w:type="dxa"/>
              <w:bottom w:w="140" w:type="dxa"/>
              <w:end w:w="180" w:type="dxa"/>
            </w:tcMar>
          </w:tcPr>
          <w:p>
            <w:pPr>
              <w:spacing w:after="60"/>
            </w:pPr>
            <w:r>
              <w:rPr>
                <w:rFonts w:ascii="Aptos" w:hAnsi="Aptos"/>
                <w:b/>
                <w:color w:val="17365D"/>
                <w:sz w:val="21"/>
              </w:rPr>
              <w:t>Importante</w:t>
            </w:r>
          </w:p>
          <w:p>
            <w:pPr>
              <w:spacing w:after="0" w:line="252" w:lineRule="auto"/>
            </w:pPr>
            <w:r>
              <w:rPr>
                <w:rFonts w:ascii="Aptos" w:hAnsi="Aptos"/>
                <w:color w:val="263238"/>
                <w:sz w:val="20"/>
              </w:rPr>
            </w:r>
            <w:r>
              <w:rPr>
                <w:rFonts w:ascii="Aptos" w:hAnsi="Aptos"/>
                <w:color w:val="263238"/>
                <w:sz w:val="20"/>
              </w:rPr>
              <w:t>La hoja de ruta parte del estudio ya realizado. Esta nueva OPS se orienta a ejecutar las soluciones priorizadas y comprende los desarrollos de software que sean necesarios para actualizar, migrar, integrar, sustituir o modernizar procesos y programas antiguos.</w:t>
            </w:r>
          </w:p>
        </w:tc>
      </w:tr>
    </w:tbl>
    <w:p>
      <w:pPr>
        <w:spacing w:after="40"/>
      </w:pPr>
    </w:p>
    <w:p>
      <w:pPr>
        <w:pStyle w:val="Heading1"/>
        <w:keepNext/>
      </w:pPr>
      <w:r>
        <w:t>14. Beneficios esperados para SERINTSA IPS</w:t>
      </w:r>
    </w:p>
    <w:p>
      <w:pPr>
        <w:pStyle w:val="ListBullet"/>
        <w:spacing w:after="60" w:line="252" w:lineRule="auto"/>
      </w:pPr>
      <w:r>
        <w:rPr>
          <w:rFonts w:ascii="Aptos" w:hAnsi="Aptos"/>
          <w:color w:val="263238"/>
          <w:sz w:val="20"/>
        </w:rPr>
        <w:t>Aprovechar el conocimiento técnico y funcional ya construido para acelerar la ejecución de iniciativas de modernización y orientar mejor las inversiones tecnológicas.</w:t>
      </w:r>
    </w:p>
    <w:p>
      <w:pPr>
        <w:pStyle w:val="ListBullet"/>
        <w:spacing w:after="60" w:line="252" w:lineRule="auto"/>
      </w:pPr>
      <w:r>
        <w:rPr>
          <w:rFonts w:ascii="Aptos" w:hAnsi="Aptos"/>
          <w:color w:val="263238"/>
          <w:sz w:val="20"/>
        </w:rPr>
        <w:t>Reducir progresivamente reprocesos, tareas manuales y dependencias de tecnologías difíciles de mantener.</w:t>
      </w:r>
    </w:p>
    <w:p>
      <w:pPr>
        <w:pStyle w:val="ListBullet"/>
        <w:spacing w:after="60" w:line="252" w:lineRule="auto"/>
      </w:pPr>
      <w:r>
        <w:rPr>
          <w:rFonts w:ascii="Aptos" w:hAnsi="Aptos"/>
          <w:color w:val="263238"/>
          <w:sz w:val="20"/>
        </w:rPr>
        <w:t>Priorizar iniciativas según valor para la operación y la atención al usuario.</w:t>
      </w:r>
    </w:p>
    <w:p>
      <w:pPr>
        <w:pStyle w:val="ListBullet"/>
        <w:spacing w:after="60" w:line="252" w:lineRule="auto"/>
      </w:pPr>
      <w:r>
        <w:rPr>
          <w:rFonts w:ascii="Aptos" w:hAnsi="Aptos"/>
          <w:color w:val="263238"/>
          <w:sz w:val="20"/>
        </w:rPr>
        <w:t>Mejorar la integración entre herramientas modernas y la disponibilidad de información entre procesos.</w:t>
      </w:r>
    </w:p>
    <w:p>
      <w:pPr>
        <w:pStyle w:val="ListBullet"/>
        <w:spacing w:after="60" w:line="252" w:lineRule="auto"/>
      </w:pPr>
      <w:r>
        <w:rPr>
          <w:rFonts w:ascii="Aptos" w:hAnsi="Aptos"/>
          <w:color w:val="263238"/>
          <w:sz w:val="20"/>
        </w:rPr>
        <w:t>Construir una arquitectura tecnológica más sostenible y preparada para servicios digitales.</w:t>
      </w:r>
    </w:p>
    <w:p>
      <w:pPr>
        <w:pStyle w:val="ListBullet"/>
        <w:spacing w:after="60" w:line="252" w:lineRule="auto"/>
      </w:pPr>
      <w:r>
        <w:rPr>
          <w:rFonts w:ascii="Aptos" w:hAnsi="Aptos"/>
          <w:color w:val="263238"/>
          <w:sz w:val="20"/>
        </w:rPr>
        <w:t>Fortalecer la trazabilidad del soporte a usuarios y equipos.</w:t>
      </w:r>
    </w:p>
    <w:p>
      <w:pPr>
        <w:pStyle w:val="ListBullet"/>
        <w:spacing w:after="60" w:line="252" w:lineRule="auto"/>
      </w:pPr>
      <w:r>
        <w:rPr>
          <w:rFonts w:ascii="Aptos" w:hAnsi="Aptos"/>
          <w:color w:val="263238"/>
          <w:sz w:val="20"/>
        </w:rPr>
        <w:t>Ejecutar la migración desde aplicaciones y tecnologías antiguas de forma progresiva, controlada y con continuidad operativa.</w:t>
      </w:r>
    </w:p>
    <w:p>
      <w:pPr>
        <w:pStyle w:val="ListBullet"/>
        <w:spacing w:after="60" w:line="252" w:lineRule="auto"/>
      </w:pPr>
      <w:r>
        <w:rPr>
          <w:rFonts w:ascii="Aptos" w:hAnsi="Aptos"/>
          <w:color w:val="263238"/>
          <w:sz w:val="20"/>
        </w:rPr>
        <w:t>Mantener documentación y conocimiento técnico sobre los cambios implementados.</w:t>
      </w:r>
    </w:p>
    <w:p>
      <w:pPr>
        <w:pStyle w:val="ListBullet"/>
        <w:spacing w:after="60" w:line="252" w:lineRule="auto"/>
      </w:pPr>
      <w:r>
        <w:rPr>
          <w:rFonts w:ascii="Aptos" w:hAnsi="Aptos"/>
          <w:color w:val="263238"/>
          <w:sz w:val="20"/>
        </w:rPr>
        <w:t>Crear una capacidad continua de mejora tecnológica sin depender de proyectos aislados.</w:t>
      </w:r>
    </w:p>
    <w:p>
      <w:pPr>
        <w:pStyle w:val="Heading1"/>
        <w:keepNext/>
      </w:pPr>
      <w:r>
        <w:t>15. Propuesta económica y modalidad contractual</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2381"/>
            <w:shd w:fill="17365D"/>
            <w:tcMar>
              <w:top w:w="110" w:type="dxa"/>
              <w:start w:w="120" w:type="dxa"/>
              <w:bottom w:w="110" w:type="dxa"/>
              <w:end w:w="120" w:type="dxa"/>
            </w:tcMar>
            <w:vAlign w:val="center"/>
          </w:tcPr>
          <w:p>
            <w:pPr>
              <w:jc w:val="center"/>
            </w:pPr>
            <w:r>
              <w:rPr>
                <w:rFonts w:ascii="Aptos" w:hAnsi="Aptos"/>
                <w:b/>
                <w:color w:val="FFFFFF"/>
                <w:sz w:val="18"/>
              </w:rPr>
              <w:t>Concepto</w:t>
            </w:r>
          </w:p>
        </w:tc>
        <w:tc>
          <w:tcPr>
            <w:tcW w:type="dxa" w:w="6690"/>
            <w:shd w:fill="17365D"/>
            <w:tcMar>
              <w:top w:w="110" w:type="dxa"/>
              <w:start w:w="120" w:type="dxa"/>
              <w:bottom w:w="110" w:type="dxa"/>
              <w:end w:w="120" w:type="dxa"/>
            </w:tcMar>
            <w:vAlign w:val="center"/>
          </w:tcPr>
          <w:p>
            <w:pPr>
              <w:jc w:val="center"/>
            </w:pPr>
            <w:r>
              <w:rPr>
                <w:rFonts w:ascii="Aptos" w:hAnsi="Aptos"/>
                <w:b/>
                <w:color w:val="FFFFFF"/>
                <w:sz w:val="18"/>
              </w:rPr>
              <w:t>Condición propuesta</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Modalidad</w:t>
            </w:r>
          </w:p>
        </w:tc>
        <w:tc>
          <w:tcPr>
            <w:tcW w:type="dxa" w:w="6690"/>
            <w:tcMar>
              <w:top w:w="105" w:type="dxa"/>
              <w:start w:w="120" w:type="dxa"/>
              <w:bottom w:w="105" w:type="dxa"/>
              <w:end w:w="120" w:type="dxa"/>
            </w:tcMar>
            <w:vAlign w:val="top"/>
          </w:tcPr>
          <w:p>
            <w:pPr>
              <w:spacing w:after="0"/>
            </w:pPr>
            <w:r>
              <w:rPr>
                <w:rFonts w:ascii="Aptos" w:hAnsi="Aptos"/>
                <w:color w:val="263238"/>
                <w:sz w:val="18"/>
              </w:rPr>
              <w:t>Prestación de Servicios Profesionales — OPS</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Profesional</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Einer Daniel Pallares Amaya — Ingeniero de Sistemas</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Valor mensual</w:t>
            </w:r>
          </w:p>
        </w:tc>
        <w:tc>
          <w:tcPr>
            <w:tcW w:type="dxa" w:w="6690"/>
            <w:tcMar>
              <w:top w:w="105" w:type="dxa"/>
              <w:start w:w="120" w:type="dxa"/>
              <w:bottom w:w="105" w:type="dxa"/>
              <w:end w:w="120" w:type="dxa"/>
            </w:tcMar>
            <w:vAlign w:val="top"/>
          </w:tcPr>
          <w:p>
            <w:pPr>
              <w:spacing w:after="0"/>
            </w:pPr>
            <w:r>
              <w:rPr>
                <w:rFonts w:ascii="Aptos" w:hAnsi="Aptos"/>
                <w:color w:val="263238"/>
                <w:sz w:val="18"/>
              </w:rPr>
              <w:t>$7.000.000 COP (SIETE MILLONES DE PESOS COLOMBIANOS)</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Periodicidad</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Mensual</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Objeto económico</w:t>
            </w:r>
          </w:p>
        </w:tc>
        <w:tc>
          <w:tcPr>
            <w:tcW w:type="dxa" w:w="6690"/>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Prestación integral de servicios profesionales de Ingeniería de Sistemas para ejecutar actualización, desarrollo de software, migración, integración, soporte y modernización tecnológica dentro de las prioridades acordadas.</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Forma de pago</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Contra cuenta de cobro o documento equivalente y cumplimiento de los requisitos administrativos definidos por SERINTSA IPS.</w:t>
            </w:r>
          </w:p>
        </w:tc>
      </w:tr>
      <w:tr>
        <w:tc>
          <w:tcPr>
            <w:tcW w:type="dxa" w:w="4677"/>
            <w:shd w:fill="F8FAFC"/>
            <w:tcMar>
              <w:top w:w="105" w:type="dxa"/>
              <w:start w:w="120" w:type="dxa"/>
              <w:bottom w:w="105" w:type="dxa"/>
              <w:end w:w="120" w:type="dxa"/>
            </w:tcMar>
          </w:tcPr>
          <w:p>
            <w:r>
              <w:rPr>
                <w:rFonts w:ascii="Aptos" w:hAnsi="Aptos"/>
                <w:color w:val="263238"/>
                <w:sz w:val="18"/>
              </w:rPr>
              <w:t>Jornada y disponibilidad</w:t>
            </w:r>
          </w:p>
        </w:tc>
        <w:tc>
          <w:tcPr>
            <w:tcW w:type="dxa" w:w="4677"/>
            <w:shd w:fill="F8FAFC"/>
            <w:tcMar>
              <w:top w:w="105" w:type="dxa"/>
              <w:start w:w="120" w:type="dxa"/>
              <w:bottom w:w="105" w:type="dxa"/>
              <w:end w:w="120" w:type="dxa"/>
            </w:tcMar>
          </w:tcPr>
          <w:p>
            <w:r>
              <w:rPr>
                <w:rFonts w:ascii="Aptos" w:hAnsi="Aptos"/>
                <w:color w:val="263238"/>
                <w:sz w:val="18"/>
              </w:rPr>
              <w:t>Sin horario fijo ni obligación de permanencia continua en las instalaciones de SERINTSA IPS. El servicio se prestará con autonomía técnica y organizativa, manteniendo disponibilidad para atender o iniciar de manera inmediata la gestión de requerimientos e incidentes que se presenten, de forma remota o presencial según su naturaleza y criticidad.</w:t>
            </w:r>
          </w:p>
        </w:tc>
      </w:tr>
    </w:tbl>
    <w:p>
      <w:pPr>
        <w:spacing w:after="80"/>
      </w:pPr>
    </w:p>
    <w:p>
      <w:pPr>
        <w:spacing w:after="120" w:before="0" w:line="259" w:lineRule="auto"/>
      </w:pPr>
      <w:r>
        <w:rPr>
          <w:rFonts w:ascii="Aptos" w:hAnsi="Aptos"/>
          <w:b w:val="0"/>
          <w:i w:val="0"/>
          <w:color w:val="263238"/>
          <w:sz w:val="21"/>
        </w:rPr>
      </w:r>
      <w:r>
        <w:rPr>
          <w:rFonts w:ascii="Aptos" w:hAnsi="Aptos"/>
          <w:b w:val="0"/>
          <w:i w:val="0"/>
          <w:color w:val="263238"/>
          <w:sz w:val="21"/>
        </w:rPr>
        <w:t>El valor mensual remunera la prestación profesional integral e incluye los desarrollos de software que deban realizarse para cumplir con las iniciativas de actualización, migración, integración y modernización priorizadas por SERINTSA IPS. No se cobrará un valor independiente por cada aplicación, módulo, componente o desarrollo realizado dentro del alcance de la OPS. La ejecución se organizará conforme a la capacidad mensual, la complejidad técnica, las dependencias y el orden de prioridades acordado entre las partes.</w:t>
      </w:r>
    </w:p>
    <w:p>
      <w:pPr>
        <w:spacing w:after="120" w:before="0" w:line="259" w:lineRule="auto"/>
      </w:pPr>
      <w:r>
        <w:rPr>
          <w:rFonts w:ascii="Aptos" w:hAnsi="Aptos"/>
          <w:b w:val="0"/>
          <w:i w:val="0"/>
          <w:color w:val="263238"/>
          <w:sz w:val="21"/>
        </w:rPr>
        <w:t>Las retenciones, aportes y demás obligaciones asociadas a la modalidad contractual se manejarán conforme a las disposiciones aplicables y a los términos que sean formalizados entre las partes.</w:t>
      </w:r>
    </w:p>
    <w:p>
      <w:pPr>
        <w:pStyle w:val="Heading2"/>
      </w:pPr>
      <w:r>
        <w:rPr>
          <w:rFonts w:ascii="Aptos" w:hAnsi="Aptos"/>
          <w:b/>
          <w:color w:val="2F75B5"/>
          <w:sz w:val="24"/>
        </w:rPr>
        <w:t>15.1 Modalidad de prestación y disponibilidad</w:t>
      </w:r>
    </w:p>
    <w:p>
      <w:r>
        <w:rPr>
          <w:rFonts w:ascii="Aptos" w:hAnsi="Aptos"/>
          <w:color w:val="263238"/>
          <w:sz w:val="21"/>
        </w:rPr>
        <w:t>Por tratarse de una prestación de servicios profesionales bajo modalidad OPS, no se establece un horario fijo de entrada o salida ni una obligación de permanencia continua dentro de las instalaciones de SERINTSA IPS. El servicio se desarrollará con autonomía técnica y organizativa, orientado al cumplimiento de las actividades, prioridades y resultados acordados con la institución.</w:t>
      </w:r>
    </w:p>
    <w:p>
      <w:r>
        <w:rPr>
          <w:rFonts w:ascii="Aptos" w:hAnsi="Aptos"/>
          <w:b w:val="0"/>
          <w:color w:val="263238"/>
          <w:sz w:val="21"/>
        </w:rPr>
        <w:t>Sin perjuicio de lo anterior, se mantendrá disponibilidad para atender los requerimientos tecnológicos que se presenten durante la operación institucional, incluyendo los originados en la sede principal, Farmaserintsa y CABE. Cuando surja una necesidad de soporte, incidente o requerimiento que requiera intervención, se procurará iniciar su gestión de manera inmediata, determinando si puede resolverse remotamente o si requiere presencia en la sede correspondiente, de acuerdo con la naturaleza, criticidad y condiciones del caso.</w:t>
      </w:r>
    </w:p>
    <w:p>
      <w:r>
        <w:rPr>
          <w:rFonts w:ascii="Aptos" w:hAnsi="Aptos"/>
          <w:color w:val="263238"/>
          <w:sz w:val="21"/>
        </w:rPr>
        <w:t>La disponibilidad descrita corresponde a capacidad de respuesta y coordinación del servicio, y no deberá interpretarse como sujeción a jornada laboral, control de horario, exclusividad, permanencia física obligatoria o disponibilidad ininterrumpida las veinticuatro (24) horas, salvo que las partes acuerden expresamente una condición adicional para situaciones especiales.</w:t>
      </w:r>
    </w:p>
    <w:p>
      <w:pPr>
        <w:pStyle w:val="Heading1"/>
        <w:keepNext/>
      </w:pPr>
      <w:r>
        <w:t>16. Supuestos, límites y condiciones de alcance</w:t>
      </w:r>
    </w:p>
    <w:p>
      <w:pPr>
        <w:pStyle w:val="ListBullet"/>
        <w:spacing w:after="60" w:line="252" w:lineRule="auto"/>
      </w:pPr>
      <w:r>
        <w:rPr>
          <w:rFonts w:ascii="Aptos" w:hAnsi="Aptos"/>
          <w:color w:val="263238"/>
          <w:sz w:val="20"/>
        </w:rPr>
      </w:r>
      <w:r>
        <w:rPr>
          <w:rFonts w:ascii="Aptos" w:hAnsi="Aptos"/>
          <w:color w:val="263238"/>
          <w:sz w:val="20"/>
        </w:rPr>
        <w:t>SERINTSA IPS facilitará el acceso autorizado a la información, usuarios, sistemas, bases de datos y ambientes necesarios para ejecutar las actividades y desarrollos priorizados.</w:t>
      </w:r>
    </w:p>
    <w:p>
      <w:pPr>
        <w:pStyle w:val="ListBullet"/>
        <w:spacing w:after="60" w:line="252" w:lineRule="auto"/>
      </w:pPr>
      <w:r>
        <w:rPr>
          <w:rFonts w:ascii="Aptos" w:hAnsi="Aptos"/>
          <w:color w:val="263238"/>
          <w:sz w:val="20"/>
        </w:rPr>
        <w:t>La prestación no estará sujeta a un horario fijo dentro de la institución; la presencia física se realizará cuando la naturaleza del requerimiento lo haga necesario, manteniendo disponibilidad de atención y coordinación conforme a las prioridades del servicio.</w:t>
      </w:r>
    </w:p>
    <w:p>
      <w:pPr>
        <w:pStyle w:val="ListBullet"/>
        <w:spacing w:after="60" w:line="252" w:lineRule="auto"/>
      </w:pPr>
      <w:r>
        <w:rPr>
          <w:rFonts w:ascii="Aptos" w:hAnsi="Aptos"/>
          <w:color w:val="263238"/>
          <w:sz w:val="20"/>
        </w:rPr>
        <w:t>Toda intervención sobre sistemas críticos deberá coordinarse con los responsables designados por la institución.</w:t>
      </w:r>
    </w:p>
    <w:p>
      <w:pPr>
        <w:pStyle w:val="ListBullet"/>
        <w:spacing w:after="60" w:line="252" w:lineRule="auto"/>
      </w:pPr>
      <w:r>
        <w:rPr>
          <w:rFonts w:ascii="Aptos" w:hAnsi="Aptos"/>
          <w:color w:val="263238"/>
          <w:sz w:val="20"/>
        </w:rPr>
        <w:t>La viabilidad de integrar o migrar sistemas dependerá de las características técnicas, permisos, licenciamiento, documentación y acceso disponibles.</w:t>
      </w:r>
    </w:p>
    <w:p>
      <w:pPr>
        <w:pStyle w:val="ListBullet"/>
        <w:spacing w:after="60" w:line="252" w:lineRule="auto"/>
      </w:pPr>
      <w:r>
        <w:rPr>
          <w:rFonts w:ascii="Aptos" w:hAnsi="Aptos"/>
          <w:color w:val="263238"/>
          <w:sz w:val="20"/>
        </w:rPr>
        <w:t>Los tiempos de cada iniciativa dependerán de su complejidad, calidad de la información existente, dependencias, disponibilidad de usuarios y alcance aprobado.</w:t>
      </w:r>
    </w:p>
    <w:p>
      <w:pPr>
        <w:pStyle w:val="ListBullet"/>
        <w:spacing w:after="60" w:line="252" w:lineRule="auto"/>
      </w:pPr>
      <w:r>
        <w:rPr>
          <w:rFonts w:ascii="Aptos" w:hAnsi="Aptos"/>
          <w:color w:val="263238"/>
          <w:sz w:val="20"/>
        </w:rPr>
        <w:t>Los servicios de terceros, licencias, dominios, hosting, nube, servidores, equipos, repuestos, consumibles y demás adquisiciones no forman parte del valor mensual, salvo acuerdo expreso.</w:t>
      </w:r>
    </w:p>
    <w:p>
      <w:pPr>
        <w:pStyle w:val="ListBullet"/>
        <w:spacing w:after="60" w:line="252" w:lineRule="auto"/>
      </w:pPr>
      <w:r>
        <w:rPr>
          <w:rFonts w:ascii="Aptos" w:hAnsi="Aptos"/>
          <w:color w:val="263238"/>
          <w:sz w:val="20"/>
        </w:rPr>
        <w:t>Las soluciones que involucren datos sensibles deberán cumplir las políticas internas y controles definidos por SERINTSA IPS.</w:t>
      </w:r>
    </w:p>
    <w:p>
      <w:pPr>
        <w:pStyle w:val="ListBullet"/>
        <w:spacing w:after="60" w:line="252" w:lineRule="auto"/>
      </w:pPr>
      <w:r>
        <w:rPr>
          <w:rFonts w:ascii="Aptos" w:hAnsi="Aptos"/>
          <w:color w:val="263238"/>
          <w:sz w:val="20"/>
        </w:rPr>
        <w:t>Las necesidades podrán cambiar durante la ejecución; cualquier cambio significativo deberá incorporarse al esquema de priorización.</w:t>
      </w:r>
    </w:p>
    <w:p>
      <w:pPr>
        <w:pStyle w:val="ListBullet"/>
        <w:spacing w:after="60" w:line="252" w:lineRule="auto"/>
      </w:pPr>
      <w:r>
        <w:rPr>
          <w:rFonts w:ascii="Aptos" w:hAnsi="Aptos"/>
          <w:color w:val="263238"/>
          <w:sz w:val="20"/>
        </w:rPr>
      </w:r>
      <w:r>
        <w:rPr>
          <w:rFonts w:ascii="Aptos" w:hAnsi="Aptos"/>
          <w:color w:val="263238"/>
          <w:sz w:val="20"/>
        </w:rPr>
        <w:t>La propuesta está orientada a reducir progresivamente la dependencia de aplicaciones y tecnologías antiguas. La modernización, migración o sustitución total o parcial de ASIS y de otras plataformas se ejecutará de forma progresiva, realizando los desarrollos e integraciones necesarios y priorizando la continuidad de la operación y la adecuada transición de la información y los procesos.</w:t>
      </w:r>
    </w:p>
    <w:p>
      <w:pPr>
        <w:pStyle w:val="ListBullet"/>
        <w:spacing w:after="60" w:line="259" w:lineRule="auto"/>
      </w:pPr>
      <w:r>
        <w:rPr>
          <w:rFonts w:ascii="Aptos" w:hAnsi="Aptos"/>
          <w:b w:val="0"/>
          <w:color w:val="263238"/>
          <w:sz w:val="20"/>
        </w:rPr>
        <w:t>El soporte sobre aplicaciones de terceros, incluido TNS, se realizará hasta el nivel permitido por los accesos, licencias, documentación y capacidades disponibles. Las incidencias que requieran intervención del fabricante o proveedor serán diagnosticadas, documentadas y escaladas para su atención especializada.</w:t>
      </w:r>
    </w:p>
    <w:p>
      <w:pPr>
        <w:pStyle w:val="Heading1"/>
        <w:keepNext/>
      </w:pPr>
      <w:r>
        <w:t>17. Modelo de relación de trabajo</w:t>
      </w:r>
    </w:p>
    <w:p>
      <w:pPr>
        <w:spacing w:after="120" w:before="0" w:line="259" w:lineRule="auto"/>
      </w:pPr>
      <w:r>
        <w:rPr>
          <w:rFonts w:ascii="Aptos" w:hAnsi="Aptos"/>
          <w:b w:val="0"/>
          <w:i w:val="0"/>
          <w:color w:val="263238"/>
          <w:sz w:val="21"/>
        </w:rPr>
      </w:r>
      <w:r>
        <w:rPr>
          <w:rFonts w:ascii="Aptos" w:hAnsi="Aptos"/>
          <w:b w:val="0"/>
          <w:i w:val="0"/>
          <w:color w:val="263238"/>
          <w:sz w:val="21"/>
        </w:rPr>
        <w:t>La propuesta busca dar continuidad a una relación de acompañamiento técnico ya iniciada y aprovechar el estudio previamente realizado para avanzar directamente hacia la ejecución. El valor del servicio se concentra en convertir necesidades ya conocidas en soluciones implementadas, incluyendo el desarrollo de software requerido, y mantener capacidad permanente de soporte, integración, migración y evolución tecnológica.</w:t>
      </w:r>
    </w:p>
    <w:p>
      <w:pPr>
        <w:spacing w:after="120" w:before="0" w:line="259" w:lineRule="auto"/>
      </w:pPr>
      <w:r>
        <w:rPr>
          <w:rFonts w:ascii="Aptos" w:hAnsi="Aptos"/>
          <w:b w:val="0"/>
          <w:i w:val="0"/>
          <w:color w:val="263238"/>
          <w:sz w:val="21"/>
        </w:rPr>
      </w:r>
      <w:r>
        <w:rPr>
          <w:rFonts w:ascii="Aptos" w:hAnsi="Aptos"/>
          <w:b w:val="0"/>
          <w:i w:val="0"/>
          <w:color w:val="263238"/>
          <w:sz w:val="21"/>
        </w:rPr>
        <w:t>SERINTSA IPS podrá orientar las prioridades de acuerdo con sus necesidades asistenciales, administrativas y operativas, mientras que la gestión técnica ejecutará las iniciativas de actualización, migración, integración, desarrollo y modernización en el orden acordado, considerando sus riesgos y dependencias.</w:t>
      </w:r>
    </w:p>
    <w:p>
      <w:pPr>
        <w:pStyle w:val="Heading1"/>
        <w:keepNext/>
      </w:pPr>
      <w:r>
        <w:t>18. Visión de modernización tecnológica</w:t>
      </w:r>
    </w:p>
    <w:p>
      <w:pPr>
        <w:spacing w:after="120" w:before="0" w:line="259" w:lineRule="auto"/>
      </w:pPr>
      <w:r>
        <w:rPr>
          <w:rFonts w:ascii="Aptos" w:hAnsi="Aptos"/>
          <w:b w:val="0"/>
          <w:i w:val="0"/>
          <w:color w:val="263238"/>
          <w:sz w:val="21"/>
        </w:rPr>
        <w:t>A mediano plazo, la modernización permitirá que SERINTSA IPS avance desde un entorno compuesto por aplicaciones heredadas, programas locales antiguos y procesos manuales hacia un ecosistema tecnológico más actual, integrado, accesible y sostenible. La evolución podrá incorporar nuevas capacidades web, servicios en línea, interoperabilidad, automatización, centralización de información y reemplazo progresivo de componentes obsoletos.</w:t>
      </w:r>
    </w:p>
    <w:p>
      <w:pPr>
        <w:spacing w:after="120" w:before="0" w:line="259" w:lineRule="auto"/>
      </w:pPr>
      <w:r>
        <w:rPr>
          <w:rFonts w:ascii="Aptos" w:hAnsi="Aptos"/>
          <w:b w:val="0"/>
          <w:i w:val="0"/>
          <w:color w:val="263238"/>
          <w:sz w:val="21"/>
        </w:rPr>
      </w:r>
      <w:r>
        <w:rPr>
          <w:rFonts w:ascii="Aptos" w:hAnsi="Aptos"/>
          <w:b w:val="0"/>
          <w:i w:val="0"/>
          <w:color w:val="263238"/>
          <w:sz w:val="21"/>
        </w:rPr>
        <w:t>La meta es construir progresivamente una base tecnológica moderna, mediante actualización, migración, integración y nuevos desarrollos, que acompañe el crecimiento institucional, mejore la experiencia de usuarios y pacientes y disminuya de manera sostenida la dependencia de programas antiguos, tecnologías de difícil mantenimiento y procesos manuales.</w:t>
      </w:r>
    </w:p>
    <w:p>
      <w:pPr>
        <w:pStyle w:val="Heading1"/>
        <w:keepNext/>
      </w:pPr>
      <w:r>
        <w:t>19. Cierre</w:t>
      </w:r>
    </w:p>
    <w:p>
      <w:pPr>
        <w:spacing w:after="120" w:before="0" w:line="259" w:lineRule="auto"/>
      </w:pPr>
      <w:r>
        <w:rPr>
          <w:rFonts w:ascii="Aptos" w:hAnsi="Aptos"/>
          <w:b w:val="0"/>
          <w:i w:val="0"/>
          <w:color w:val="263238"/>
          <w:sz w:val="21"/>
        </w:rPr>
      </w:r>
      <w:r>
        <w:rPr>
          <w:rFonts w:ascii="Aptos" w:hAnsi="Aptos"/>
          <w:b w:val="0"/>
          <w:i w:val="0"/>
          <w:color w:val="263238"/>
          <w:sz w:val="21"/>
        </w:rPr>
        <w:t>Agradezco a SERINTSA IPS la oportunidad de presentar esta propuesta de continuidad de servicios profesionales. El estudio realizado durante la contratación previa constituye el punto de partida para esta nueva etapa, cuyo objetivo principal es ejecutar la actualización, migración, integración y modernización tecnológica de los procesos y aplicaciones institucionales.</w:t>
      </w:r>
    </w:p>
    <w:p>
      <w:pPr>
        <w:spacing w:after="120" w:before="0" w:line="259" w:lineRule="auto"/>
      </w:pPr>
      <w:r>
        <w:rPr>
          <w:rFonts w:ascii="Aptos" w:hAnsi="Aptos"/>
          <w:b w:val="0"/>
          <w:i w:val="0"/>
          <w:color w:val="263238"/>
          <w:sz w:val="21"/>
        </w:rPr>
      </w:r>
      <w:r>
        <w:rPr>
          <w:rFonts w:ascii="Aptos" w:hAnsi="Aptos"/>
          <w:b w:val="0"/>
          <w:i w:val="0"/>
          <w:color w:val="263238"/>
          <w:sz w:val="21"/>
        </w:rPr>
        <w:t>El compromiso propuesto consiste en ejecutar las soluciones tecnológicas necesarias para la modernización institucional, incluyendo programación y desarrollo de software cuando sea requerido, además de migración, integración, actualización, soporte, documentación y continuidad. Cada intervención buscará transformar procesos antiguos y construir progresivamente una plataforma tecnológica más actual, integrada y sostenible.</w:t>
      </w:r>
    </w:p>
    <w:p>
      <w:pPr>
        <w:spacing w:after="280" w:before="0" w:line="259" w:lineRule="auto"/>
      </w:pPr>
      <w:r>
        <w:rPr>
          <w:rFonts w:ascii="Aptos" w:hAnsi="Aptos"/>
          <w:b w:val="0"/>
          <w:i w:val="0"/>
          <w:color w:val="263238"/>
          <w:sz w:val="21"/>
        </w:rPr>
      </w:r>
    </w:p>
    <w:p>
      <w:pPr>
        <w:spacing w:after="280" w:before="0" w:line="259" w:lineRule="auto"/>
      </w:pPr>
      <w:r>
        <w:rPr>
          <w:rFonts w:ascii="Aptos" w:hAnsi="Aptos"/>
          <w:b w:val="0"/>
          <w:i w:val="0"/>
          <w:color w:val="5F6B73"/>
          <w:sz w:val="20"/>
        </w:rPr>
        <w:t>Atentamente,</w:t>
      </w:r>
    </w:p>
    <w:p>
      <w:pPr>
        <w:spacing w:after="0" w:before="0" w:line="259" w:lineRule="auto"/>
      </w:pPr>
      <w:r>
        <w:rPr>
          <w:rFonts w:ascii="Aptos" w:hAnsi="Aptos"/>
          <w:b/>
          <w:i w:val="0"/>
          <w:color w:val="17365D"/>
          <w:sz w:val="24"/>
        </w:rPr>
        <w:t>Einer Daniel Pallares Amaya</w:t>
      </w:r>
    </w:p>
    <w:p>
      <w:pPr>
        <w:spacing w:after="200" w:before="0" w:line="259" w:lineRule="auto"/>
      </w:pPr>
      <w:r>
        <w:rPr>
          <w:rFonts w:ascii="Aptos" w:hAnsi="Aptos"/>
          <w:b w:val="0"/>
          <w:i w:val="0"/>
          <w:color w:val="263238"/>
          <w:sz w:val="21"/>
        </w:rPr>
        <w:t>Ingeniero de Sistemas</w:t>
      </w:r>
    </w:p>
    <w:p>
      <w:pPr>
        <w:spacing w:after="40" w:before="0" w:line="259" w:lineRule="auto"/>
      </w:pPr>
      <w:r>
        <w:rPr>
          <w:rFonts w:ascii="Aptos" w:hAnsi="Aptos"/>
          <w:b w:val="0"/>
          <w:i w:val="0"/>
          <w:color w:val="5F6B73"/>
          <w:sz w:val="19"/>
        </w:rPr>
        <w:t>Teléfono: ____________________________________</w:t>
      </w:r>
    </w:p>
    <w:p>
      <w:pPr>
        <w:spacing w:after="40" w:before="0" w:line="259" w:lineRule="auto"/>
      </w:pPr>
      <w:r>
        <w:rPr>
          <w:rFonts w:ascii="Aptos" w:hAnsi="Aptos"/>
          <w:b w:val="0"/>
          <w:i w:val="0"/>
          <w:color w:val="5F6B73"/>
          <w:sz w:val="19"/>
        </w:rPr>
        <w:t>Correo electrónico: ____________________________</w:t>
      </w:r>
    </w:p>
    <w:sectPr w:rsidR="00FC693F" w:rsidRPr="0006063C" w:rsidSect="00034616">
      <w:headerReference w:type="default" r:id="rId9"/>
      <w:footerReference w:type="default" r:id="rId10"/>
      <w:headerReference w:type="first" r:id="rId11"/>
      <w:footerReference w:type="first" r:id="rId12"/>
      <w:pgSz w:w="11906" w:h="16838"/>
      <w:pgMar w:top="1219" w:right="1276" w:bottom="1134" w:left="1276" w:header="454" w:footer="454"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tabs>
        <w:tab w:pos="9071" w:val="right"/>
      </w:tabs>
      <w:jc w:val="right"/>
    </w:pPr>
    <w:r>
      <w:rPr>
        <w:rFonts w:ascii="Aptos" w:hAnsi="Aptos"/>
        <w:color w:val="5F6B73"/>
        <w:sz w:val="16"/>
      </w:rPr>
      <w:t>Einer Daniel Pallares Amaya · Ingeniero de Sistemas</w:t>
    </w:r>
    <w:r>
      <w:tab/>
    </w:r>
    <w:r>
      <w:rPr>
        <w:rFonts w:ascii="Aptos" w:hAnsi="Aptos"/>
        <w:sz w:val="16"/>
      </w:rPr>
      <w:t xml:space="preserve">Página </w:t>
      <w:fldChar w:fldCharType="begin"/>
      <w:instrText xml:space="preserve"> PAGE </w:instrText>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Bdr>
        <w:bottom w:val="single" w:sz="10" w:space="4" w:color="2F75B5"/>
      </w:pBdr>
    </w:pPr>
    <w:r>
      <w:rPr>
        <w:rFonts w:ascii="Aptos" w:hAnsi="Aptos"/>
        <w:color w:val="5F6B73"/>
        <w:sz w:val="15"/>
      </w:rPr>
      <w:t>SERINTSA IPS  |  PROPUESTA DE SERVICIOS PROFESIONALES</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ptos" w:hAnsi="Aptos"/>
      <w:color w:val="263238"/>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ascii="Aptos Display" w:hAnsi="Aptos Display"/>
      <w:b/>
      <w:bCs/>
      <w:color w:val="17365D"/>
      <w:sz w:val="32"/>
      <w:szCs w:val="28"/>
    </w:rPr>
  </w:style>
  <w:style w:type="paragraph" w:styleId="Heading2">
    <w:name w:val="heading 2"/>
    <w:basedOn w:val="Normal"/>
    <w:next w:val="Normal"/>
    <w:link w:val="Heading2Char"/>
    <w:uiPriority w:val="9"/>
    <w:unhideWhenUsed/>
    <w:qFormat/>
    <w:rsid w:val="00FC693F"/>
    <w:pPr>
      <w:keepNext/>
      <w:keepLines/>
      <w:spacing w:before="140" w:after="100"/>
      <w:outlineLvl w:val="1"/>
    </w:pPr>
    <w:rPr>
      <w:rFonts w:asciiTheme="majorHAnsi" w:eastAsiaTheme="majorEastAsia" w:hAnsiTheme="majorHAnsi" w:cstheme="majorBidi" w:ascii="Aptos" w:hAnsi="Aptos"/>
      <w:b/>
      <w:bCs/>
      <w:color w:val="2F75B5"/>
      <w:sz w:val="24"/>
      <w:szCs w:val="26"/>
    </w:rPr>
  </w:style>
  <w:style w:type="paragraph" w:styleId="Heading3">
    <w:name w:val="heading 3"/>
    <w:basedOn w:val="Normal"/>
    <w:next w:val="Normal"/>
    <w:link w:val="Heading3Char"/>
    <w:uiPriority w:val="9"/>
    <w:unhideWhenUsed/>
    <w:qFormat/>
    <w:rsid w:val="00FC693F"/>
    <w:pPr>
      <w:keepNext/>
      <w:keepLines/>
      <w:spacing w:before="140" w:after="100"/>
      <w:outlineLvl w:val="2"/>
    </w:pPr>
    <w:rPr>
      <w:rFonts w:asciiTheme="majorHAnsi" w:eastAsiaTheme="majorEastAsia" w:hAnsiTheme="majorHAnsi" w:cstheme="majorBidi" w:ascii="Aptos" w:hAnsi="Aptos"/>
      <w:b/>
      <w:bCs/>
      <w:color w:val="263238"/>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0"/>
    </w:rPr>
  </w:style>
  <w:style w:type="paragraph" w:styleId="ListBullet2">
    <w:name w:val="List Bullet 2"/>
    <w:basedOn w:val="Normal"/>
    <w:uiPriority w:val="99"/>
    <w:unhideWhenUsed/>
    <w:rsid w:val="00326F90"/>
    <w:pPr>
      <w:numPr>
        <w:numId w:val="2"/>
      </w:numPr>
      <w:contextualSpacing/>
    </w:pPr>
    <w:rPr>
      <w:rFonts w:ascii="Aptos" w:hAnsi="Aptos"/>
      <w:sz w:val="20"/>
    </w:r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de Prestación de Servicios Profesionales - Modernización Tecnológica SERINTSA IPS</dc:title>
  <dc:subject>Ejecución de actualización, migración, integración, desarrollo de software y modernización tecnológica</dc:subject>
  <dc:creator>Einer Daniel Pallares Amaya</dc:creator>
  <cp:keywords>SERINTSA IPS, Ingeniería de Sistemas, modernización tecnológica, migración, actualización de aplicaciones, OPS</cp:keywords>
  <dc:description>Versión actualizada: soporte TNS, Farmaserintsa y CABE.</dc:description>
  <cp:lastModifiedBy/>
  <cp:revision>1</cp:revision>
  <dcterms:created xsi:type="dcterms:W3CDTF">2013-12-23T23:15:00Z</dcterms:created>
  <dcterms:modified xsi:type="dcterms:W3CDTF">2013-12-23T23:15:00Z</dcterms:modified>
  <cp:category/>
</cp:coreProperties>
</file>